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アジア歴史資料センターの「台湾総督府国語学校」の解説に合うものを一つ選べ。ここでは同機関についての記載を問い、戦前の全地域の教育を一律に扱わない。</w:t>
      </w:r>
    </w:p>
    <w:p>
      <w:pPr>
        <w:spacing w:after="60"/>
        <w:ind w:left="360"/>
      </w:pPr>
      <w:r>
        <w:t>1. 日本語教育と教員養成のために設けられ、語学部には台湾人に日本語を教える国語学科と、日本人に台湾語を教える土語学科が置かれた。</w:t>
      </w:r>
    </w:p>
    <w:p>
      <w:pPr>
        <w:spacing w:after="60"/>
        <w:ind w:left="360"/>
      </w:pPr>
      <w:r>
        <w:t>2. 語学部の土語学科は、台湾人に日本語を教える学科として説明されている。</w:t>
      </w:r>
    </w:p>
    <w:p>
      <w:pPr>
        <w:spacing w:after="60"/>
        <w:ind w:left="360"/>
      </w:pPr>
      <w:r>
        <w:t>3. 国語学校には語学部だけが置かれ、師範部と附属学校は置かれなかった。</w:t>
      </w:r>
    </w:p>
    <w:p>
      <w:pPr>
        <w:spacing w:after="60"/>
        <w:ind w:left="360"/>
      </w:pPr>
      <w:r>
        <w:t>4. 同解説では、1919年に台湾師範学校から台湾総督府国語学校へ改称されたと記される。</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Foley（1988）の章「Language birth: the processes of pidginization and creolization」の公開導入で、著者が採用すると明示する定義に合うものを一つ選べ。定義には学説上の異論もあることに注意する。</w:t>
      </w:r>
    </w:p>
    <w:p>
      <w:pPr>
        <w:spacing w:after="60"/>
        <w:ind w:left="360"/>
      </w:pPr>
      <w:r>
        <w:t>1. この定義では、ピジンは成立時から必ず全住民の母語である。</w:t>
      </w:r>
    </w:p>
    <w:p>
      <w:pPr>
        <w:spacing w:after="60"/>
        <w:ind w:left="360"/>
      </w:pPr>
      <w:r>
        <w:t>2. この定義では、ピジンが共同体の母語となり、拡張・精緻化する過程をクレオール化として説明する。</w:t>
      </w:r>
    </w:p>
    <w:p>
      <w:pPr>
        <w:spacing w:after="60"/>
        <w:ind w:left="360"/>
      </w:pPr>
      <w:r>
        <w:t>3. この定義では、クレオール化とは接触言語を使う人が全員いなくなることだけをいう。</w:t>
      </w:r>
    </w:p>
    <w:p>
      <w:pPr>
        <w:spacing w:after="60"/>
        <w:ind w:left="360"/>
      </w:pPr>
      <w:r>
        <w:t>4. この定義では、ピジン化は異なる言語の話者間の接触とは無関係に起こるとされる。</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外務省掲載の市民的及び政治的権利に関する国際規約（B規約）第27条が定める、言語的少数民族に属する者の権利について、適切なものを一つ選べ。</w:t>
      </w:r>
    </w:p>
    <w:p>
      <w:pPr>
        <w:spacing w:after="60"/>
        <w:ind w:left="360"/>
      </w:pPr>
      <w:r>
        <w:t>1. その集団の他の構成員とともに自己の言語を使う権利は、条文から除外されている。</w:t>
      </w:r>
    </w:p>
    <w:p>
      <w:pPr>
        <w:spacing w:after="60"/>
        <w:ind w:left="360"/>
      </w:pPr>
      <w:r>
        <w:t>2. 言語的少数民族が存在する国において、当該少数民族に属する者が集団の他の構成員とともに自己の言語を使用する権利は、否定されない。</w:t>
      </w:r>
    </w:p>
    <w:p>
      <w:pPr>
        <w:spacing w:after="60"/>
        <w:ind w:left="360"/>
      </w:pPr>
      <w:r>
        <w:t>3. 第27条は、自己の言語の使用を放棄することを、文化を享有するための要件としている。</w:t>
      </w:r>
    </w:p>
    <w:p>
      <w:pPr>
        <w:spacing w:after="60"/>
        <w:ind w:left="360"/>
      </w:pPr>
      <w:r>
        <w:t>4. 第27条は、少数民族の言語を必ずその国唯一の公用語とするよう定めている。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Schachter（1974）「An Error in Error Analysis」の著者要旨で示される、回避を考慮する意義に合うものを一つ選べ。</w:t>
      </w:r>
    </w:p>
    <w:p>
      <w:pPr>
        <w:spacing w:after="60"/>
        <w:ind w:left="360"/>
      </w:pPr>
      <w:r>
        <w:t>1. 誤りが少なくても、困難な構造自体を使わないことで問題が表れにくい可能性を検討する。</w:t>
      </w:r>
    </w:p>
    <w:p>
      <w:pPr>
        <w:spacing w:after="60"/>
        <w:ind w:left="360"/>
      </w:pPr>
      <w:r>
        <w:t>2. 誤りの数が少なければ、その構造を十分に使いこなせることが常に証明される。</w:t>
      </w:r>
    </w:p>
    <w:p>
      <w:pPr>
        <w:spacing w:after="60"/>
        <w:ind w:left="360"/>
      </w:pPr>
      <w:r>
        <w:t>3. 回避とは、この研究では学習者が語学テストを欠席することだけを指す。</w:t>
      </w:r>
    </w:p>
    <w:p>
      <w:pPr>
        <w:spacing w:after="60"/>
        <w:ind w:left="360"/>
      </w:pPr>
      <w:r>
        <w:t>4. 回避の検討では、学習者がその構造をどれだけ用いたかを見る必要がない。</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東京外国語大学の2014年の取組紹介で説明される「コミュニティ通訳」の役割に合うものを一つ選べ。</w:t>
      </w:r>
    </w:p>
    <w:p>
      <w:pPr>
        <w:spacing w:after="60"/>
        <w:ind w:left="360"/>
      </w:pPr>
      <w:r>
        <w:t>1. 相談に来た人の発言を通訳せず、本人の希望と無関係に通訳者だけで相談内容を決める。</w:t>
      </w:r>
    </w:p>
    <w:p>
      <w:pPr>
        <w:spacing w:after="60"/>
        <w:ind w:left="360"/>
      </w:pPr>
      <w:r>
        <w:t>2. 言語面の橋渡しをせず、日本語の文法試験の採点だけを担う。</w:t>
      </w:r>
    </w:p>
    <w:p>
      <w:pPr>
        <w:spacing w:after="60"/>
        <w:ind w:left="360"/>
      </w:pPr>
      <w:r>
        <w:t>3. 言語的マイノリティーを言語面で支え、ホスト社会との橋渡しをする。法律相談では専門家の助言を正確に通訳することも課題となる。</w:t>
      </w:r>
    </w:p>
    <w:p>
      <w:pPr>
        <w:spacing w:after="60"/>
        <w:ind w:left="360"/>
      </w:pPr>
      <w:r>
        <w:t>4. 相談の通訳と称して、専門家の助言を伝えることを役割から全面的に除外する。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モジュール制の具体例として、Cambridge Englishが公表するDELTAの構成と受講順序の説明に合うものを一つ選べ。すべてのモジュール型コースが同じ条件とは限らない。</w:t>
      </w:r>
    </w:p>
    <w:p>
      <w:pPr>
        <w:spacing w:after="60"/>
        <w:ind w:left="360"/>
      </w:pPr>
      <w:r>
        <w:t>1. DELTAは一つの分割できない科目だけで構成される。</w:t>
      </w:r>
    </w:p>
    <w:p>
      <w:pPr>
        <w:spacing w:after="60"/>
        <w:ind w:left="360"/>
      </w:pPr>
      <w:r>
        <w:t>2. DELTAは三つのモジュールからなり、任意の順序・組合せで受けられると案内されている。</w:t>
      </w:r>
    </w:p>
    <w:p>
      <w:pPr>
        <w:spacing w:after="60"/>
        <w:ind w:left="360"/>
      </w:pPr>
      <w:r>
        <w:t>3. DELTAのモジュールは、必ず番号と逆の順番に受けるよう一律に義務付けられている。</w:t>
      </w:r>
    </w:p>
    <w:p>
      <w:pPr>
        <w:spacing w:after="60"/>
        <w:ind w:left="360"/>
      </w:pPr>
      <w:r>
        <w:t>4. DELTAではどのモジュールを受ける場合も、三つ全部を同時に始めることだけが認められる。</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国立国語研究所「ことば研究館」掲載の笹原宏之による文字の解説が述べる、日本語と中国語の一般的な表記の対比に合うものを一つ選べ。</w:t>
      </w:r>
    </w:p>
    <w:p>
      <w:pPr>
        <w:spacing w:after="60"/>
        <w:ind w:left="360"/>
      </w:pPr>
      <w:r>
        <w:t>1. 日本語の一般的な表記では漢字を使わず、ひらがな一種類だけを用いる。</w:t>
      </w:r>
    </w:p>
    <w:p>
      <w:pPr>
        <w:spacing w:after="60"/>
        <w:ind w:left="360"/>
      </w:pPr>
      <w:r>
        <w:t>2. 日本語は一般に漢字とひらがな・カタカナを交えて書かれ、中国語は漢字による表記がほとんどと説明される。</w:t>
      </w:r>
    </w:p>
    <w:p>
      <w:pPr>
        <w:spacing w:after="60"/>
        <w:ind w:left="360"/>
      </w:pPr>
      <w:r>
        <w:t>3. 中国語では漢字を使わず、一般の文章をすべてひらがなだけで書くと説明される。</w:t>
      </w:r>
    </w:p>
    <w:p>
      <w:pPr>
        <w:spacing w:after="60"/>
        <w:ind w:left="360"/>
      </w:pPr>
      <w:r>
        <w:t>4. 同解説は、日本語ではローマ字を用いることが一切ないと説明している。</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同センターの解説にある設置目的と語学部の二学科の対象に対応します。</w:t>
      </w:r>
    </w:p>
    <w:p>
      <w:pPr>
        <w:spacing w:after="100"/>
      </w:pPr>
      <w:r>
        <w:rPr>
          <w:b/>
          <w:bCs/>
          <w:color w:val="B00020"/>
        </w:rPr>
        <w:t xml:space="preserve">2（誤）</w:t>
      </w:r>
      <w:r>
        <w:t xml:space="preserve">　対象と言語の組合せが逆です。土語学科は日本人に台湾語を教えるものと説明されています。</w:t>
      </w:r>
    </w:p>
    <w:p>
      <w:pPr>
        <w:spacing w:after="100"/>
      </w:pPr>
      <w:r>
        <w:rPr>
          <w:b/>
          <w:bCs/>
          <w:color w:val="B00020"/>
        </w:rPr>
        <w:t xml:space="preserve">3（誤）</w:t>
      </w:r>
      <w:r>
        <w:t xml:space="preserve">　解説は師範部、語学部、附属学校の設置を記しています。</w:t>
      </w:r>
    </w:p>
    <w:p>
      <w:pPr>
        <w:spacing w:after="100"/>
      </w:pPr>
      <w:r>
        <w:rPr>
          <w:b/>
          <w:bCs/>
          <w:color w:val="B00020"/>
        </w:rPr>
        <w:t xml:space="preserve">4（誤）</w:t>
      </w:r>
      <w:r>
        <w:t xml:space="preserve">　改称の方向が逆です。1919年に国語学校は台湾師範学校となったと記されています。</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著者は本章で採用する定義ではピジンは誰の母語でもないとしています。</w:t>
      </w:r>
    </w:p>
    <w:p>
      <w:pPr>
        <w:spacing w:after="100"/>
      </w:pPr>
      <w:r>
        <w:rPr>
          <w:b/>
          <w:bCs/>
          <w:color w:val="2E7D32"/>
        </w:rPr>
        <w:t xml:space="preserve">2（正）</w:t>
      </w:r>
      <w:r>
        <w:t xml:space="preserve">　公開導入の母語化と拡張・精緻化の説明に対応します。すべての研究者が同じ定義を採るという意味ではありません。</w:t>
      </w:r>
    </w:p>
    <w:p>
      <w:pPr>
        <w:spacing w:after="100"/>
      </w:pPr>
      <w:r>
        <w:rPr>
          <w:b/>
          <w:bCs/>
          <w:color w:val="B00020"/>
        </w:rPr>
        <w:t xml:space="preserve">3（誤）</w:t>
      </w:r>
      <w:r>
        <w:t xml:space="preserve">　著者は母語化に伴う拡張・精緻化を説明しており、話者の消失の定義ではありません。</w:t>
      </w:r>
    </w:p>
    <w:p>
      <w:pPr>
        <w:spacing w:after="100"/>
      </w:pPr>
      <w:r>
        <w:rPr>
          <w:b/>
          <w:bCs/>
          <w:color w:val="B00020"/>
        </w:rPr>
        <w:t xml:space="preserve">4（誤）</w:t>
      </w:r>
      <w:r>
        <w:t xml:space="preserve">　公開導入は異なる言語を話す集団間の社会的・経済的な接触を説明しています。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条文は自己の言語を使用する権利を明示しています。</w:t>
      </w:r>
    </w:p>
    <w:p>
      <w:pPr>
        <w:spacing w:after="100"/>
      </w:pPr>
      <w:r>
        <w:rPr>
          <w:b/>
          <w:bCs/>
          <w:color w:val="2E7D32"/>
        </w:rPr>
        <w:t xml:space="preserve">2（正）</w:t>
      </w:r>
      <w:r>
        <w:t xml:space="preserve">　第27条の対象と権利の内容に対応します。ここからあらゆる行政サービスの使用言語まで一律には導きません。</w:t>
      </w:r>
    </w:p>
    <w:p>
      <w:pPr>
        <w:spacing w:after="100"/>
      </w:pPr>
      <w:r>
        <w:rPr>
          <w:b/>
          <w:bCs/>
          <w:color w:val="B00020"/>
        </w:rPr>
        <w:t xml:space="preserve">3（誤）</w:t>
      </w:r>
      <w:r>
        <w:t xml:space="preserve">　言語の放棄を要件とする記述はありません。文化・宗教・言語に関する権利を否定されないとしています。</w:t>
      </w:r>
    </w:p>
    <w:p>
      <w:pPr>
        <w:spacing w:after="100"/>
      </w:pPr>
      <w:r>
        <w:rPr>
          <w:b/>
          <w:bCs/>
          <w:color w:val="B00020"/>
        </w:rPr>
        <w:t xml:space="preserve">4（誤）</w:t>
      </w:r>
      <w:r>
        <w:t xml:space="preserve">　唯一の公用語への指定を義務付ける条文ではありません。自己の言語を使用する権利と区別します。</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著者要旨は、関係節を使うことを避けるために誤用だけからは困難を捉えにくい点を述べています。使用量にも注意を向ける説明です。</w:t>
      </w:r>
    </w:p>
    <w:p>
      <w:pPr>
        <w:spacing w:after="100"/>
      </w:pPr>
      <w:r>
        <w:rPr>
          <w:b/>
          <w:bCs/>
          <w:color w:val="B00020"/>
        </w:rPr>
        <w:t xml:space="preserve">2（誤）</w:t>
      </w:r>
      <w:r>
        <w:t xml:space="preserve">　誤りが少ないことと、その構造の使用・習得が十分であることを同一視していません。</w:t>
      </w:r>
    </w:p>
    <w:p>
      <w:pPr>
        <w:spacing w:after="100"/>
      </w:pPr>
      <w:r>
        <w:rPr>
          <w:b/>
          <w:bCs/>
          <w:color w:val="B00020"/>
        </w:rPr>
        <w:t xml:space="preserve">3（誤）</w:t>
      </w:r>
      <w:r>
        <w:t xml:space="preserve">　著者要旨が扱うのは英語関係節の使用です。テストの欠席だけを扱う話ではありません。</w:t>
      </w:r>
    </w:p>
    <w:p>
      <w:pPr>
        <w:spacing w:after="100"/>
      </w:pPr>
      <w:r>
        <w:rPr>
          <w:b/>
          <w:bCs/>
          <w:color w:val="B00020"/>
        </w:rPr>
        <w:t xml:space="preserve">4（誤）</w:t>
      </w:r>
      <w:r>
        <w:t xml:space="preserve">　使わないことで困難が表れにくいという指摘です。構造の使用を検討対象から外す対応は合いません。</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紹介記事が説明する言語面の橋渡しに合いません。相談者の発言を伝えず決定を代わる説明ではありません。</w:t>
      </w:r>
    </w:p>
    <w:p>
      <w:pPr>
        <w:spacing w:after="100"/>
      </w:pPr>
      <w:r>
        <w:rPr>
          <w:b/>
          <w:bCs/>
          <w:color w:val="B00020"/>
        </w:rPr>
        <w:t xml:space="preserve">2（誤）</w:t>
      </w:r>
      <w:r>
        <w:t xml:space="preserve">　記事は言語面の支援と社会への橋渡しを説明しています。文法試験の採点だけではありません。</w:t>
      </w:r>
    </w:p>
    <w:p>
      <w:pPr>
        <w:spacing w:after="100"/>
      </w:pPr>
      <w:r>
        <w:rPr>
          <w:b/>
          <w:bCs/>
          <w:color w:val="2E7D32"/>
        </w:rPr>
        <w:t xml:space="preserve">3（正）</w:t>
      </w:r>
      <w:r>
        <w:t xml:space="preserve">　記事の役割の説明と、専門家の助言を正確に通訳する人材へのニーズに対応します。</w:t>
      </w:r>
    </w:p>
    <w:p>
      <w:pPr>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公式案内は三つのモジュールから構成されるとしています。</w:t>
      </w:r>
    </w:p>
    <w:p>
      <w:pPr>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spacing w:after="100"/>
      </w:pPr>
      <w:r>
        <w:rPr>
          <w:b/>
          <w:bCs/>
          <w:color w:val="B00020"/>
        </w:rPr>
        <w:t xml:space="preserve">3（誤）</w:t>
      </w:r>
      <w:r>
        <w:t xml:space="preserve">　公式案内は任意の順序と説明しています。逆順のみの義務ではありません。</w:t>
      </w:r>
    </w:p>
    <w:p>
      <w:pPr>
        <w:spacing w:after="100"/>
      </w:pPr>
      <w:r>
        <w:rPr>
          <w:b/>
          <w:bCs/>
          <w:color w:val="B00020"/>
        </w:rPr>
        <w:t xml:space="preserve">4（誤）</w:t>
      </w:r>
      <w:r>
        <w:t xml:space="preserve">　任意の組合せと説明されており、全モジュール同時開始だけに限定する記述ではありません。</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同解説は漢字・ひらがな・カタカナを交えた表記を説明しています。</w:t>
      </w:r>
    </w:p>
    <w:p>
      <w:pPr>
        <w:spacing w:after="100"/>
      </w:pPr>
      <w:r>
        <w:rPr>
          <w:b/>
          <w:bCs/>
          <w:color w:val="2E7D32"/>
        </w:rPr>
        <w:t xml:space="preserve">2（正）</w:t>
      </w:r>
      <w:r>
        <w:t xml:space="preserve">　同解説の対比に対応します。個々の文章のすべての文字がこの種類だけという断定ではありません。</w:t>
      </w:r>
    </w:p>
    <w:p>
      <w:pPr>
        <w:spacing w:after="100"/>
      </w:pPr>
      <w:r>
        <w:rPr>
          <w:b/>
          <w:bCs/>
          <w:color w:val="B00020"/>
        </w:rPr>
        <w:t xml:space="preserve">3（誤）</w:t>
      </w:r>
      <w:r>
        <w:t xml:space="preserve">　同解説は中国語の表記のほとんどが漢字によると説明しています。</w:t>
      </w:r>
    </w:p>
    <w:p>
      <w:pPr>
        <w:spacing w:after="100"/>
      </w:pPr>
      <w:r>
        <w:rPr>
          <w:b/>
          <w:bCs/>
          <w:color w:val="B00020"/>
        </w:rPr>
        <w:t xml:space="preserve">4（誤）</w:t>
      </w:r>
      <w:r>
        <w:t xml:space="preserve">　同解説はローマ字で日本語の単語や文章を書くこともあると述べています。</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