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国立国語研究所の「方言」ということばの解説に照らし、地域方言と共通語の捉え方として適切なものを一つ選べ。</w:t>
      </w:r>
    </w:p>
    <w:p>
      <w:pPr>
        <w:spacing w:after="60"/>
        <w:ind w:left="360"/>
      </w:pPr>
      <w:r>
        <w:t>1. 地域方言とは独特な単語だけを指し、地域のアクセントや文法を含めたことば全体を指すことはない。</w:t>
      </w:r>
    </w:p>
    <w:p>
      <w:pPr>
        <w:spacing w:after="60"/>
        <w:ind w:left="360"/>
      </w:pPr>
      <w:r>
        <w:t>2. 共通語から離れた地域にだけ方言があり、東京のことばを地域方言として捉えることはできない。</w:t>
      </w:r>
    </w:p>
    <w:p>
      <w:pPr>
        <w:spacing w:after="60"/>
        <w:ind w:left="360"/>
      </w:pPr>
      <w:r>
        <w:t>3. 方言と共通語の違いは、方言が誤ったことばで共通語だけが正しいという関係を意味する。</w:t>
      </w:r>
    </w:p>
    <w:p>
      <w:pPr>
        <w:spacing w:after="60"/>
        <w:ind w:left="360"/>
      </w:pPr>
      <w:r>
        <w:t>4. 地域のことば全体を方言と捉える見方があり、共通語との違いを正誤の関係にする必要はない。</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同じ地域の話しことばの変異を調べる。国立国語研究所の解説の「地域の中のことばの多様性」に合う捉え方を一つ選べ。</w:t>
      </w:r>
    </w:p>
    <w:p>
      <w:pPr>
        <w:spacing w:after="60"/>
        <w:ind w:left="360"/>
      </w:pPr>
      <w:r>
        <w:t>1. 同じ地域に住む人のことばは一様なので、年齢や会話の場面を調べる必要はない。</w:t>
      </w:r>
    </w:p>
    <w:p>
      <w:pPr>
        <w:spacing w:after="60"/>
        <w:ind w:left="360"/>
      </w:pPr>
      <w:r>
        <w:t>2. 地域内にも年齢などによる違いや場面による使い分けがあり、地域名だけでことばを一様とはみなせない。</w:t>
      </w:r>
    </w:p>
    <w:p>
      <w:pPr>
        <w:spacing w:after="60"/>
        <w:ind w:left="360"/>
      </w:pPr>
      <w:r>
        <w:t>3. 地域内の違いを考える際に、居住者の出身地の多様さがことばへ与える影響は検討しない。</w:t>
      </w:r>
    </w:p>
    <w:p>
      <w:pPr>
        <w:spacing w:after="60"/>
        <w:ind w:left="360"/>
      </w:pPr>
      <w:r>
        <w:t>4. その地域の方言として扱えるのは高年層の伝統的なことばだけで、若い人の新しい使い方は対象から除く。</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方言周圏論と方言の変化について、国立国語研究所の解説に合うものを一つ選べ。</w:t>
      </w:r>
    </w:p>
    <w:p>
      <w:pPr>
        <w:spacing w:after="60"/>
        <w:ind w:left="360"/>
      </w:pPr>
      <w:r>
        <w:t>1. 各地の方言の違いはすべて中央からの伝播だけで生まれ、方言内部で独自に変化することはない。</w:t>
      </w:r>
    </w:p>
    <w:p>
      <w:pPr>
        <w:spacing w:after="60"/>
        <w:ind w:left="360"/>
      </w:pPr>
      <w:r>
        <w:t>2. 方言周圏論は、中央で新しい語が生まれて順次広がる場合に、外側の語ほど新しく内側の語ほど古いとする。</w:t>
      </w:r>
    </w:p>
    <w:p>
      <w:pPr>
        <w:spacing w:after="60"/>
        <w:ind w:left="360"/>
      </w:pPr>
      <w:r>
        <w:t>3. 方言には古い中央語が残ることはなく、文化の中心地で用いられた古語を方言の分布と関連付けることはできない。</w:t>
      </w:r>
    </w:p>
    <w:p>
      <w:pPr>
        <w:spacing w:after="60"/>
        <w:ind w:left="360"/>
      </w:pPr>
      <w:r>
        <w:t>4. 中央から語が順次広がり古い語が外側に残るという説明がある一方、各地で独自に起こる変化も区別して考える。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Canale・Swain（1980）のストラテジー能力の説明として適切なものを一つ選べ。</w:t>
      </w:r>
    </w:p>
    <w:p>
      <w:pPr>
        <w:spacing w:after="60"/>
        <w:ind w:left="360"/>
      </w:pPr>
      <w:r>
        <w:t>1. 遂行上の要因や不十分な能力による伝達の破綻を補う、言語的・非言語的な方略に関わる。</w:t>
      </w:r>
    </w:p>
    <w:p>
      <w:pPr>
        <w:spacing w:after="60"/>
        <w:ind w:left="360"/>
      </w:pPr>
      <w:r>
        <w:t>2. 語彙や文法の知識は含まれず不要になるので、文法能力を別に考える必要はない。</w:t>
      </w:r>
    </w:p>
    <w:p>
      <w:pPr>
        <w:spacing w:after="60"/>
        <w:ind w:left="360"/>
      </w:pPr>
      <w:r>
        <w:t>3. 補償に用いるのは言語的な方略だけであり、非言語的な方略は含まない。</w:t>
      </w:r>
    </w:p>
    <w:p>
      <w:pPr>
        <w:spacing w:after="60"/>
        <w:ind w:left="360"/>
      </w:pPr>
      <w:r>
        <w:t>4. 同論文の三要素には含まれず、コミュニケーション能力を文法能力だけとする。</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Hallの原著Beyond Cultureの高文脈・低文脈の説明に合うものを一つ選べ。</w:t>
      </w:r>
    </w:p>
    <w:p>
      <w:pPr>
        <w:spacing w:after="60"/>
        <w:ind w:left="360"/>
      </w:pPr>
      <w:r>
        <w:t>1. 低文脈のメッセージでは、情報の大部分が状況や個人の内にあり、明示的な符号に含まれる情報はごく少ないとする。</w:t>
      </w:r>
    </w:p>
    <w:p>
      <w:pPr>
        <w:spacing w:after="60"/>
        <w:ind w:left="360"/>
      </w:pPr>
      <w:r>
        <w:t>2. 高文脈のメッセージでは、情報の多くが状況や個人の内にあり、低文脈では明示的な符号に多くの情報が置かれるとする。</w:t>
      </w:r>
    </w:p>
    <w:p>
      <w:pPr>
        <w:spacing w:after="60"/>
        <w:ind w:left="360"/>
      </w:pPr>
      <w:r>
        <w:t>3. 高文脈と低文脈は連続体を成さず、文化は必ずどちらか一方の極にのみ存在するとする。</w:t>
      </w:r>
    </w:p>
    <w:p>
      <w:pPr>
        <w:spacing w:after="60"/>
        <w:ind w:left="360"/>
      </w:pPr>
      <w:r>
        <w:t>4. 低文脈のメッセージは一切の文脈を持たず、符号・文脈・意味を現実の出来事でも完全に切り離せるとする。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教師と学習者の間で課題の前提知識が共有されていないことが分かった。HallのBeyond Cultureの文脈に関する説明を参考に、伝え方を検討する考え方として適切なものを一つ選べ。</w:t>
      </w:r>
    </w:p>
    <w:p>
      <w:pPr>
        <w:spacing w:after="60"/>
        <w:ind w:left="360"/>
      </w:pPr>
      <w:r>
        <w:t>1. 共有されていない情報も必ず察して分かるため、教師は相手が何を知っているかを確かめず、前提の説明を省く。</w:t>
      </w:r>
    </w:p>
    <w:p>
      <w:pPr>
        <w:spacing w:after="60"/>
        <w:ind w:left="360"/>
      </w:pPr>
      <w:r>
        <w:t>2. 相手がすでに知っていることを把握する必要はなく、必要な情報が不足している場合も過剰な場合も同じ説明を続ける。</w:t>
      </w:r>
    </w:p>
    <w:p>
      <w:pPr>
        <w:spacing w:after="60"/>
        <w:ind w:left="360"/>
      </w:pPr>
      <w:r>
        <w:t>3. 高文脈と低文脈は言語を使う集団ごとに固定されるため、今回の相手と共有する前提や課題の状況は検討しない。</w:t>
      </w:r>
    </w:p>
    <w:p>
      <w:pPr>
        <w:spacing w:after="60"/>
        <w:ind w:left="360"/>
      </w:pPr>
      <w:r>
        <w:t>4. 相手が何を前提にしているかを確かめ、必要な情報が不足したり過剰になったりしないよう、明示する内容を検討する。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Canale・Swain（1980）30頁の談話規則の説明に照らし、結束性と一貫性の扱いとして適切なものを一つ選べ。</w:t>
      </w:r>
    </w:p>
    <w:p>
      <w:pPr>
        <w:spacing w:after="60"/>
        <w:ind w:left="360"/>
      </w:pPr>
      <w:r>
        <w:t>1. 同論文では、結束性を、発話群のコミュニケーション機能を適切に組み合わせることとだけ説明する。</w:t>
      </w:r>
    </w:p>
    <w:p>
      <w:pPr>
        <w:spacing w:after="60"/>
        <w:ind w:left="360"/>
      </w:pPr>
      <w:r>
        <w:t>2. 同論文では、一貫性を文法的な結び付きという意味に限り、コミュニケーション機能の組合せと結び付けない。</w:t>
      </w:r>
    </w:p>
    <w:p>
      <w:pPr>
        <w:spacing w:after="60"/>
        <w:ind w:left="360"/>
      </w:pPr>
      <w:r>
        <w:t>3. 同論文は、談話規則を考える際に、文法的な結び付きとコミュニケーション機能の適切な組合せを区別する。</w:t>
      </w:r>
    </w:p>
    <w:p>
      <w:pPr>
        <w:spacing w:after="60"/>
        <w:ind w:left="360"/>
      </w:pPr>
      <w:r>
        <w:t>4. 同論文の談話規則の焦点は単一の発話の文法的な形だけで、複数発話の組合せにはない。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イェール大学Poorvu Centerの公式ガイドが示す教室の座席配置の用途について、説明に合うものを一つ選べ。</w:t>
      </w:r>
    </w:p>
    <w:p>
      <w:pPr>
        <w:spacing w:after="60"/>
        <w:ind w:left="360"/>
      </w:pPr>
      <w:r>
        <w:t>1. 列型の固定席では全員が互いに向き合うため、教師の方を向く配置とは区別される。</w:t>
      </w:r>
    </w:p>
    <w:p>
      <w:pPr>
        <w:spacing w:after="60"/>
        <w:ind w:left="360"/>
      </w:pPr>
      <w:r>
        <w:t>2. 円卓型は互いの顔が見えない構造なので、全体での対話にも隣同士の対話にも使えない。</w:t>
      </w:r>
    </w:p>
    <w:p>
      <w:pPr>
        <w:spacing w:after="60"/>
        <w:ind w:left="360"/>
      </w:pPr>
      <w:r>
        <w:t>3. グループ型やペア型の配置は、授業時間の多くを共同作業に充てる場合の選択肢となる。</w:t>
      </w:r>
    </w:p>
    <w:p>
      <w:pPr>
        <w:spacing w:after="60"/>
        <w:ind w:left="360"/>
      </w:pPr>
      <w:r>
        <w:t>4. U字型は前方の教材を投影して議論する活動には使えないため、ガイドはその用途を除外する。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HallのBeyond Culture 91頁の高文脈・低文脈の捉え方に照らし、概念の扱いとして適切なものを一つ選べ。</w:t>
      </w:r>
    </w:p>
    <w:p>
      <w:pPr>
        <w:spacing w:after="60"/>
        <w:ind w:left="360"/>
      </w:pPr>
      <w:r>
        <w:t>1. 高文脈と低文脈は二つの排他的な箱であり、各文化は例外なくどちらか一方の極にだけ位置すると捉える。</w:t>
      </w:r>
    </w:p>
    <w:p>
      <w:pPr>
        <w:spacing w:after="60"/>
        <w:ind w:left="360"/>
      </w:pPr>
      <w:r>
        <w:t>2. 高文脈と低文脈を連続体の両端に置き、どの文化も片方の端だけに存在するわけではないという留保を保つ。</w:t>
      </w:r>
    </w:p>
    <w:p>
      <w:pPr>
        <w:spacing w:after="60"/>
        <w:ind w:left="360"/>
      </w:pPr>
      <w:r>
        <w:t>3. 高文脈は言語的な符号に情報の大部分を置くことで、状況や個人の内にある情報への依存を最小にするものと捉える。</w:t>
      </w:r>
    </w:p>
    <w:p>
      <w:pPr>
        <w:spacing w:after="60"/>
        <w:ind w:left="360"/>
      </w:pPr>
      <w:r>
        <w:t>4. 低文脈は明示的な符号に情報を置かず、情報の大部分を状況や個人の内に委ねるものと捉える。</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Sacks・Schegloff・Jefferson（1974）の会話の順番交替モデルにおける、次話者の選定についての説明に合うものを一つ選べ。</w:t>
      </w:r>
    </w:p>
    <w:p>
      <w:pPr>
        <w:spacing w:after="60"/>
        <w:ind w:left="360"/>
      </w:pPr>
      <w:r>
        <w:t>1. 現在の話者が次話者を選ぶ場合と、参加者が自ら次の話者になる場合を区別して扱う。</w:t>
      </w:r>
    </w:p>
    <w:p>
      <w:pPr>
        <w:spacing w:after="60"/>
        <w:ind w:left="360"/>
      </w:pPr>
      <w:r>
        <w:t>2. 次の話者は会話を始める前に全員分を固定しておくため、現在の発話の中で次話者を選ぶことはない。</w:t>
      </w:r>
    </w:p>
    <w:p>
      <w:pPr>
        <w:spacing w:after="60"/>
        <w:ind w:left="360"/>
      </w:pPr>
      <w:r>
        <w:t>3. 現在の話者が次話者を選ばない場合、参加者が自ら話し始めることは認められず、会話は必ず終了する。</w:t>
      </w:r>
    </w:p>
    <w:p>
      <w:pPr>
        <w:spacing w:after="60"/>
        <w:ind w:left="360"/>
      </w:pPr>
      <w:r>
        <w:t>4. 現在の話者が次話者を選ばず、他の参加者も自ら話し始めない場合でも、現在の話者が話し続けることはできない。</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カーネギーメロン大学Eberly Centerの公式ガイドに照らし、ティーチング・ポートフォリオの構成として適切なものを一つ選べ。</w:t>
      </w:r>
    </w:p>
    <w:p>
      <w:pPr>
        <w:spacing w:after="60"/>
        <w:ind w:left="360"/>
      </w:pPr>
      <w:r>
        <w:t>1. 教育理念や目標を示し、それらと関連する代表的な資料を選び、資料の文脈や意味を説明しながら自らの教育実践を省察する。</w:t>
      </w:r>
    </w:p>
    <w:p>
      <w:pPr>
        <w:spacing w:after="60"/>
        <w:ind w:left="360"/>
      </w:pPr>
      <w:r>
        <w:t>2. 教育理念との関係や資料の意味は説明せず、授業関係の資料をすべて無選別に保存したものを提出する。</w:t>
      </w:r>
    </w:p>
    <w:p>
      <w:pPr>
        <w:spacing w:after="60"/>
        <w:ind w:left="360"/>
      </w:pPr>
      <w:r>
        <w:t>3. 授業評価の数値だけを掲載し、教育理念、実践の説明、省察、質的な資料は含めない。</w:t>
      </w:r>
    </w:p>
    <w:p>
      <w:pPr>
        <w:spacing w:after="60"/>
        <w:ind w:left="360"/>
      </w:pPr>
      <w:r>
        <w:t>4. 研修に出席した記録だけで授業への影響が実証されたと判断し、研修で得た知識を実践にどう生かしたかは説明しない。</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ASQ（米国品質協会）の公式説明に照らし、PDCAサイクルの各段階の扱いとして適切なものを一つ選べ。</w:t>
      </w:r>
    </w:p>
    <w:p>
      <w:pPr>
        <w:spacing w:after="60"/>
        <w:ind w:left="360"/>
      </w:pPr>
      <w:r>
        <w:t>1. 変更を計画して小規模に試し、結果を分析して学んだことを確かめ、それに基づいて対応し、次の改善へつなげる。</w:t>
      </w:r>
    </w:p>
    <w:p>
      <w:pPr>
        <w:spacing w:after="60"/>
        <w:ind w:left="360"/>
      </w:pPr>
      <w:r>
        <w:t>2. Checkは変更を試す前だけに行い、試行後の結果の分析はPDCAの手順には含めない。</w:t>
      </w:r>
    </w:p>
    <w:p>
      <w:pPr>
        <w:spacing w:after="60"/>
        <w:ind w:left="360"/>
      </w:pPr>
      <w:r>
        <w:t>3. Actでは試行から学んだ内容を使わず、変更がうまくいかなかった場合も同じ計画だけを繰り返す。</w:t>
      </w:r>
    </w:p>
    <w:p>
      <w:pPr>
        <w:spacing w:after="60"/>
        <w:ind w:left="360"/>
      </w:pPr>
      <w:r>
        <w:t>4. PDCAは一度だけで終了する手順であり、結果を使って新しい改善を計画したりサイクルを繰り返したりしない。</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前方の画面に教材を投影し、それを見ながら全体で議論する教室を計画する。イェール大学Poorvu Centerの公式ガイドに照らした配置の検討として適切なものを一つ選べ。</w:t>
      </w:r>
    </w:p>
    <w:p>
      <w:pPr>
        <w:spacing w:after="60"/>
        <w:ind w:left="360"/>
      </w:pPr>
      <w:r>
        <w:t>1. 投影機器を置けば活動と座席配置の関係を考える必要はなくなるので、授業の目標は配置の検討から外す。</w:t>
      </w:r>
    </w:p>
    <w:p>
      <w:pPr>
        <w:spacing w:after="60"/>
        <w:ind w:left="360"/>
      </w:pPr>
      <w:r>
        <w:t>2. U字型や半円型を候補にし、前方の教材の投影と参加者間の議論という活動に合わせて配置を検討する。</w:t>
      </w:r>
    </w:p>
    <w:p>
      <w:pPr>
        <w:spacing w:after="60"/>
        <w:ind w:left="360"/>
      </w:pPr>
      <w:r>
        <w:t>3. U字型は学習者間の議論を妨げるための配置なので、教材の議論を行わないことを目的に採用する。</w:t>
      </w:r>
    </w:p>
    <w:p>
      <w:pPr>
        <w:spacing w:after="60"/>
        <w:ind w:left="360"/>
      </w:pPr>
      <w:r>
        <w:t>4. 固定席の教室では隣同士で行う活動もできないため、配置を動かせなければペアで考える活動をすべて取りやめる。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Hofstede（2011）の国・社会レベルの文化次元で、人々が集団にどのように統合されているかに関わるものを一つ選べ。個人の性格診断としては扱わない。</w:t>
      </w:r>
    </w:p>
    <w:p>
      <w:pPr>
        <w:spacing w:after="60"/>
        <w:ind w:left="360"/>
      </w:pPr>
      <w:r>
        <w:t>1. 不確実性の回避の次元</w:t>
      </w:r>
    </w:p>
    <w:p>
      <w:pPr>
        <w:spacing w:after="60"/>
        <w:ind w:left="360"/>
      </w:pPr>
      <w:r>
        <w:t>2. 権力格差の次元</w:t>
      </w:r>
    </w:p>
    <w:p>
      <w:pPr>
        <w:spacing w:after="60"/>
        <w:ind w:left="360"/>
      </w:pPr>
      <w:r>
        <w:t>3. 長期志向・短期志向の次元</w:t>
      </w:r>
    </w:p>
    <w:p>
      <w:pPr>
        <w:spacing w:after="60"/>
        <w:ind w:left="360"/>
      </w:pPr>
      <w:r>
        <w:t>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国立国語研究所の擬音語・擬態語の分類を紹介する教材に照らし、オノマトペの意味と用法の扱いとして適切なものを一つ選べ。</w:t>
      </w:r>
    </w:p>
    <w:p>
      <w:pPr>
        <w:spacing w:after="60"/>
        <w:ind w:left="360"/>
      </w:pPr>
      <w:r>
        <w:t>1. 一つの語形の意味分類は文脈によらず固定しているので、用いられた文を確かめず分類できる。</w:t>
      </w:r>
    </w:p>
    <w:p>
      <w:pPr>
        <w:spacing w:after="60"/>
        <w:ind w:left="360"/>
      </w:pPr>
      <w:r>
        <w:t>2. 同じ語形でも文脈により音や様子などを表し、複数の意味分類に当てはまる場合がある。</w:t>
      </w:r>
    </w:p>
    <w:p>
      <w:pPr>
        <w:spacing w:after="60"/>
        <w:ind w:left="360"/>
      </w:pPr>
      <w:r>
        <w:t>3. 教材の分類は実際に聞こえる音だけを対象にし、音を伴わない状態や感覚を対象から除く。</w:t>
      </w:r>
    </w:p>
    <w:p>
      <w:pPr>
        <w:spacing w:after="60"/>
        <w:ind w:left="360"/>
      </w:pPr>
      <w:r>
        <w:t>4. 教材では一つの語が複数の用法を持つことを否定し、すべての語を一つの分類にだけ対応させる。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「特徴ある一部かことば全体か」の節は、単語以外の側面を含む地域のことば全体も方言とする見方を示しています。単語だけに限定する説明は合いません。</w:t>
      </w:r>
    </w:p>
    <w:p>
      <w:pPr>
        <w:spacing w:after="100"/>
      </w:pPr>
      <w:r>
        <w:rPr>
          <w:b/>
          <w:bCs/>
          <w:color w:val="B00020"/>
        </w:rPr>
        <w:t xml:space="preserve">2（誤）</w:t>
      </w:r>
      <w:r>
        <w:t xml:space="preserve">　「共通語と比べるかほかの方言と比べるか」の節では、地域間の比較から東京方言も位置付けています。共通語に近いことだけで方言ではないとはしません。</w:t>
      </w:r>
    </w:p>
    <w:p>
      <w:pPr>
        <w:spacing w:after="100"/>
      </w:pPr>
      <w:r>
        <w:rPr>
          <w:b/>
          <w:bCs/>
          <w:color w:val="B00020"/>
        </w:rPr>
        <w:t xml:space="preserve">3（誤）</w:t>
      </w:r>
      <w:r>
        <w:t xml:space="preserve">　同節は、方言と共通語が本来どちらかだけ正しいという関係ではないと説明しています。違いを一方の誤りとする点が合いません。</w:t>
      </w:r>
    </w:p>
    <w:p>
      <w:pPr>
        <w:spacing w:after="100"/>
      </w:pPr>
      <w:r>
        <w:rPr>
          <w:b/>
          <w:bCs/>
          <w:color w:val="2E7D32"/>
        </w:rPr>
        <w:t xml:space="preserve">4（正）</w:t>
      </w:r>
      <w:r>
        <w:t xml:space="preserve">　本文の二つの見方に合います。語彙だけでなく発音や文法などを含めた地域のことば全体を捉え、共通語との違いをそのまま正誤に置き換えません。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この節は、地域内のことばが一様ではないと述べ、年齢差と場面による使い分けを挙げています。地域だけで一様とする点が逆です。</w:t>
      </w:r>
    </w:p>
    <w:p>
      <w:pPr>
        <w:spacing w:after="100"/>
      </w:pPr>
      <w:r>
        <w:rPr>
          <w:b/>
          <w:bCs/>
          <w:color w:val="2E7D32"/>
        </w:rPr>
        <w:t xml:space="preserve">2（正）</w:t>
      </w:r>
      <w:r>
        <w:t xml:space="preserve">　この節の年齢差・場面による使い分け・多様な出身地という観点に合います。一つの地域の内部にも複数の変異があると捉えます。</w:t>
      </w:r>
    </w:p>
    <w:p>
      <w:pPr>
        <w:spacing w:after="100"/>
      </w:pPr>
      <w:r>
        <w:rPr>
          <w:b/>
          <w:bCs/>
          <w:color w:val="B00020"/>
        </w:rPr>
        <w:t xml:space="preserve">3（誤）</w:t>
      </w:r>
      <w:r>
        <w:t xml:space="preserve">　この節は、特に都市では住民の出身地が様々で、その構成が地域のことばに影響すると説明しています。この観点を除く説明は合いません。</w:t>
      </w:r>
    </w:p>
    <w:p>
      <w:pPr>
        <w:spacing w:after="100"/>
      </w:pPr>
      <w:r>
        <w:rPr>
          <w:b/>
          <w:bCs/>
          <w:color w:val="B00020"/>
        </w:rPr>
        <w:t xml:space="preserve">4（誤）</w:t>
      </w:r>
      <w:r>
        <w:t xml:space="preserve">　この節は、若い人のことばも地域方言の一つの姿と述べています。方言を高年層の古いことばだけに限る捉え方を採用していません。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「どうしていろいろな方言があるのですか」は、伝播に加え各方言内部の発展や変化を第二の要因としています。すべてを伝播だけにする点が合いません。</w:t>
      </w:r>
    </w:p>
    <w:p>
      <w:pPr>
        <w:spacing w:after="100"/>
      </w:pPr>
      <w:r>
        <w:rPr>
          <w:b/>
          <w:bCs/>
          <w:color w:val="B00020"/>
        </w:rPr>
        <w:t xml:space="preserve">2（誤）</w:t>
      </w:r>
      <w:r>
        <w:t xml:space="preserve">　「方言には古語が残っているというのは本当ですか」の周圏論の節は、順次伝播する説明では外側ほど古く内側ほど新しいとします。新旧を逆転しています。</w:t>
      </w:r>
    </w:p>
    <w:p>
      <w:pPr>
        <w:spacing w:after="100"/>
      </w:pPr>
      <w:r>
        <w:rPr>
          <w:b/>
          <w:bCs/>
          <w:color w:val="B00020"/>
        </w:rPr>
        <w:t xml:space="preserve">3（誤）</w:t>
      </w:r>
      <w:r>
        <w:t xml:space="preserve">　同記事は、古い時代の京都で用いられた語が方言に残る場合を説明しています。古い中央語の残存を全面的に否定する点が合いません。</w:t>
      </w:r>
    </w:p>
    <w:p>
      <w:pPr>
        <w:spacing w:after="100"/>
      </w:pPr>
      <w:r>
        <w:rPr>
          <w:b/>
          <w:bCs/>
          <w:color w:val="2E7D32"/>
        </w:rPr>
        <w:t xml:space="preserve">4（正）</w:t>
      </w:r>
      <w:r>
        <w:t xml:space="preserve">　二つの記事の説明に合います。「どうしていろいろな方言があるのですか」は独自の変化や要因の複合にも触れており、全方言を一つの伝播原理だけで説明することを避けます。</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30頁の定義に合います。不十分な能力だけでなく遂行上の要因による破綻も対象とし、言語的・非言語的手段を含めます。</w:t>
      </w:r>
    </w:p>
    <w:p>
      <w:pPr>
        <w:spacing w:after="100"/>
      </w:pPr>
      <w:r>
        <w:rPr>
          <w:b/>
          <w:bCs/>
          <w:color w:val="B00020"/>
        </w:rPr>
        <w:t xml:space="preserve">2（誤）</w:t>
      </w:r>
      <w:r>
        <w:t xml:space="preserve">　29頁は語彙や文法等の知識を文法能力に含めています。方略による補償を、その知識が不要になることと取り違えています。</w:t>
      </w:r>
    </w:p>
    <w:p>
      <w:pPr>
        <w:spacing w:after="100"/>
      </w:pPr>
      <w:r>
        <w:rPr>
          <w:b/>
          <w:bCs/>
          <w:color w:val="B00020"/>
        </w:rPr>
        <w:t xml:space="preserve">3（誤）</w:t>
      </w:r>
      <w:r>
        <w:t xml:space="preserve">　30頁は言語的な方略に加え非言語的な方略を明示しています。言語だけに限る説明は合いません。</w:t>
      </w:r>
    </w:p>
    <w:p>
      <w:pPr>
        <w:spacing w:after="100"/>
      </w:pPr>
      <w:r>
        <w:rPr>
          <w:b/>
          <w:bCs/>
          <w:color w:val="B00020"/>
        </w:rPr>
        <w:t xml:space="preserve">4（誤）</w:t>
      </w:r>
      <w:r>
        <w:t xml:space="preserve">　29～31頁には文法能力・社会言語学的能力・ストラテジー能力が示されています。文法だけとする説明は合いません。</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原著91頁では、状況や個人の内に情報の多くがあり、明示的に伝えられる部分が少ないものを高文脈のメッセージとしています。低文脈とするこの説明は逆です。</w:t>
      </w:r>
    </w:p>
    <w:p>
      <w:pPr>
        <w:spacing w:after="100"/>
      </w:pPr>
      <w:r>
        <w:rPr>
          <w:b/>
          <w:bCs/>
          <w:color w:val="2E7D32"/>
        </w:rPr>
        <w:t xml:space="preserve">2（正）</w:t>
      </w:r>
      <w:r>
        <w:t xml:space="preserve">　原著91頁のメッセージの定義に対応します。言語を使うか否かの二分ではなく、情報が状況や個人の内と明示的な符号にどのように配分されるかに注目します。</w:t>
      </w:r>
    </w:p>
    <w:p>
      <w:pPr>
        <w:spacing w:after="100"/>
      </w:pPr>
      <w:r>
        <w:rPr>
          <w:b/>
          <w:bCs/>
          <w:color w:val="B00020"/>
        </w:rPr>
        <w:t xml:space="preserve">3（誤）</w:t>
      </w:r>
      <w:r>
        <w:t xml:space="preserve">　原著91頁は高文脈と低文脈を連続体の両端に置き、どの文化も片方の端だけに存在するわけではないと述べています。排他的な二分類にする説明は合いません。</w:t>
      </w:r>
    </w:p>
    <w:p>
      <w:pPr>
        <w:spacing w:after="100"/>
      </w:pPr>
      <w:r>
        <w:rPr>
          <w:b/>
          <w:bCs/>
          <w:color w:val="B00020"/>
        </w:rPr>
        <w:t xml:space="preserve">4（誤）</w:t>
      </w:r>
      <w:r>
        <w:t xml:space="preserve">　原著90頁は、実生活の符号・文脈・意味を一つの出来事の異なる側面と捉えています。91頁の低文脈は明示的な符号に情報の多くを置くという定義で、文脈が一切ないこととは異なります。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原著90頁は、相手が何を考慮に入れているか、いないかを知る重要性を述べています。共有されていない前提まで必ず察せるとみなす案は、その検討を省いています。</w:t>
      </w:r>
    </w:p>
    <w:p>
      <w:pPr>
        <w:spacing w:after="100"/>
      </w:pPr>
      <w:r>
        <w:rPr>
          <w:b/>
          <w:bCs/>
          <w:color w:val="B00020"/>
        </w:rPr>
        <w:t xml:space="preserve">2（誤）</w:t>
      </w:r>
      <w:r>
        <w:t xml:space="preserve">　原著92～93頁は、明示する情報が不足でも過剰でもないよう文脈を考えることや、相手の既有知識を考慮しない説明の問題を述べています。どちらの場合も同じ説明に固定する案は合いません。</w:t>
      </w:r>
    </w:p>
    <w:p>
      <w:pPr>
        <w:spacing w:after="100"/>
      </w:pPr>
      <w:r>
        <w:rPr>
          <w:b/>
          <w:bCs/>
          <w:color w:val="B00020"/>
        </w:rPr>
        <w:t xml:space="preserve">3（誤）</w:t>
      </w:r>
      <w:r>
        <w:t xml:space="preserve">　原著90頁の相互理解では相手が考慮することを知ることが重要で、91頁は高低を連続体として説明しています。言語集団の分類だけで個別の前提確認を不要とする案は導けません。</w:t>
      </w:r>
    </w:p>
    <w:p>
      <w:pPr>
        <w:spacing w:after="100"/>
      </w:pPr>
      <w:r>
        <w:rPr>
          <w:b/>
          <w:bCs/>
          <w:color w:val="2E7D32"/>
        </w:rPr>
        <w:t xml:space="preserve">4（正）</w:t>
      </w:r>
      <w:r>
        <w:t xml:space="preserve">　原著90・92～93頁の相手の前提と情報の過不足への注意を、設問の場面に適用した考え方です。特定の国籍から内心を決めたり、この対応だけで学習効果を保証したりする判断とは区別します。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30頁では文法的な結び付きを結束性としています。この肢は、一貫性の側で示す機能の組合せと取り違えています。</w:t>
      </w:r>
    </w:p>
    <w:p>
      <w:pPr>
        <w:spacing w:after="100"/>
      </w:pPr>
      <w:r>
        <w:rPr>
          <w:b/>
          <w:bCs/>
          <w:color w:val="B00020"/>
        </w:rPr>
        <w:t xml:space="preserve">2（誤）</w:t>
      </w:r>
      <w:r>
        <w:t xml:space="preserve">　30頁は一貫性をコミュニケーション機能の適切な組合せに結び付けています。文法的な結び付きだけにする点が合いません。</w:t>
      </w:r>
    </w:p>
    <w:p>
      <w:pPr>
        <w:spacing w:after="100"/>
      </w:pPr>
      <w:r>
        <w:rPr>
          <w:b/>
          <w:bCs/>
          <w:color w:val="2E7D32"/>
        </w:rPr>
        <w:t xml:space="preserve">3（正）</w:t>
      </w:r>
      <w:r>
        <w:t xml:space="preserve">　30頁で示す結束性と一貫性の区別に合います。ここでは同論文の説明を問い、後続研究のあらゆる定義と同一視しません。</w:t>
      </w:r>
    </w:p>
    <w:p>
      <w:pPr>
        <w:spacing w:after="100"/>
      </w:pPr>
      <w:r>
        <w:rPr>
          <w:b/>
          <w:bCs/>
          <w:color w:val="B00020"/>
        </w:rPr>
        <w:t xml:space="preserve">4（誤）</w:t>
      </w:r>
      <w:r>
        <w:t xml:space="preserve">　30頁は、談話規則の焦点を単一発話の文法的な適格さではなく、発話とコミュニケーション機能の組合せに置いています。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原著91頁は連続体として説明し、片方の端だけに存在する文化はないという留保を置いています。排他的な箱や、片方の極への固定という捉え方は合いません。</w:t>
      </w:r>
    </w:p>
    <w:p>
      <w:pPr>
        <w:spacing w:after="100"/>
      </w:pPr>
      <w:r>
        <w:rPr>
          <w:b/>
          <w:bCs/>
          <w:color w:val="2E7D32"/>
        </w:rPr>
        <w:t xml:space="preserve">2（正）</w:t>
      </w:r>
      <w:r>
        <w:t xml:space="preserve">　原著91頁に対応する捉え方です。原著に文化比較の例があることと、連続体の一方の極だけに固定することを区別し、分類の留保を保ちます。</w:t>
      </w:r>
    </w:p>
    <w:p>
      <w:pPr>
        <w:spacing w:after="100"/>
      </w:pPr>
      <w:r>
        <w:rPr>
          <w:b/>
          <w:bCs/>
          <w:color w:val="B00020"/>
        </w:rPr>
        <w:t xml:space="preserve">3（誤）</w:t>
      </w:r>
      <w:r>
        <w:t xml:space="preserve">　原著91頁の高文脈では、情報の多くが状況や個人の内にあり、明示的に伝えられる部分は少ないとされます。情報の配分を逆にしています。</w:t>
      </w:r>
    </w:p>
    <w:p>
      <w:pPr>
        <w:spacing w:after="100"/>
      </w:pPr>
      <w:r>
        <w:rPr>
          <w:b/>
          <w:bCs/>
          <w:color w:val="B00020"/>
        </w:rPr>
        <w:t xml:space="preserve">4（誤）</w:t>
      </w:r>
      <w:r>
        <w:t xml:space="preserve">　原著91頁の低文脈では、明示的な符号に情報の多くが置かれるとされます。状況や個人の内に情報の大部分を委ねるという説明は、高低の定義を逆にしています。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原論文703頁の順番配分の二つの方法に対応します。704頁では、次話者の選定、自ら話し始めること、現在の話者による継続の条件を順序づけた規則で説明しています。</w:t>
      </w:r>
    </w:p>
    <w:p>
      <w:pPr>
        <w:spacing w:after="100"/>
      </w:pPr>
      <w:r>
        <w:rPr>
          <w:b/>
          <w:bCs/>
          <w:color w:val="B00020"/>
        </w:rPr>
        <w:t xml:space="preserve">2（誤）</w:t>
      </w:r>
      <w:r>
        <w:t xml:space="preserve">　原論文703頁は、現在の話者による次話者の選定を一つの方法として挙げています。すべての順番を事前に固定し、この方法を排除する説明は合いません。</w:t>
      </w:r>
    </w:p>
    <w:p>
      <w:pPr>
        <w:spacing w:after="100"/>
      </w:pPr>
      <w:r>
        <w:rPr>
          <w:b/>
          <w:bCs/>
          <w:color w:val="B00020"/>
        </w:rPr>
        <w:t xml:space="preserve">3（誤）</w:t>
      </w:r>
      <w:r>
        <w:t xml:space="preserve">　原論文704頁の規則1bは、現在の話者が次話者を選んでいない場合に自ら次の話者になる可能性を示しています。必ず会話が終わるという説明は合いません。</w:t>
      </w:r>
    </w:p>
    <w:p>
      <w:pPr>
        <w:spacing w:after="100"/>
      </w:pPr>
      <w:r>
        <w:rPr>
          <w:b/>
          <w:bCs/>
          <w:color w:val="B00020"/>
        </w:rPr>
        <w:t xml:space="preserve">4（誤）</w:t>
      </w:r>
      <w:r>
        <w:t xml:space="preserve">　原論文704頁の規則1cは、次話者が選ばれておらず他の参加者が自ら話し始めない場合、現在の話者が継続する可能性を示しています。継続自体を不可能とする説明は逆です。</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論文8頁では、不確実性の回避を未知の将来に直面した社会のストレスの程度に関わる次元として挙げています。設問の集団への統合に対応する次元ではありません。</w:t>
      </w:r>
    </w:p>
    <w:p>
      <w:pPr>
        <w:spacing w:after="100"/>
      </w:pPr>
      <w:r>
        <w:rPr>
          <w:b/>
          <w:bCs/>
          <w:color w:val="B00020"/>
        </w:rPr>
        <w:t xml:space="preserve">2（誤）</w:t>
      </w:r>
      <w:r>
        <w:t xml:space="preserve">　論文8頁では、権力格差を人間の不平等という基本的な問題への異なる対応に関わる次元として挙げています。設問の集団への統合とは区別されます。</w:t>
      </w:r>
    </w:p>
    <w:p>
      <w:pPr>
        <w:spacing w:after="100"/>
      </w:pPr>
      <w:r>
        <w:rPr>
          <w:b/>
          <w:bCs/>
          <w:color w:val="B00020"/>
        </w:rPr>
        <w:t xml:space="preserve">3（誤）</w:t>
      </w:r>
      <w:r>
        <w:t xml:space="preserve">　論文8頁では、長期志向・短期志向を努力の焦点を将来に置くか、現在や過去に置くかに関わる次元として挙げています。設問の集団への統合を表す名称ではありません。</w:t>
      </w:r>
    </w:p>
    <w:p>
      <w:pPr>
        <w:spacing w:after="100"/>
      </w:pPr>
      <w:r>
        <w:rPr>
          <w:b/>
          <w:bCs/>
          <w:color w:val="2E7D32"/>
        </w:rPr>
        <w:t xml:space="preserve">4（正）</w:t>
      </w:r>
      <w:r>
        <w:t xml:space="preserve">　論文8頁の次元一覧と11頁の定義に対応します。11頁は個人の特性ではなく社会の特性として、人々が集団に統合される程度を述べています。8頁も国の文化得点を個人の固定観念に用いないよう明記しています。</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教材は、同じ語でも用いられる文により意味分類が変わる例を示しています。文脈を見ずに語形だけで分類を固定する点が合いません。</w:t>
      </w:r>
    </w:p>
    <w:p>
      <w:pPr>
        <w:spacing w:after="100"/>
      </w:pPr>
      <w:r>
        <w:rPr>
          <w:b/>
          <w:bCs/>
          <w:color w:val="2E7D32"/>
        </w:rPr>
        <w:t xml:space="preserve">2（正）</w:t>
      </w:r>
      <w:r>
        <w:t xml:space="preserve">　教材は、一つの語が複数の意味と用法を持ち、二つ以上の意味分類に当てはまる場合を説明しています。語形だけでなく用いられ方を確認します。</w:t>
      </w:r>
    </w:p>
    <w:p>
      <w:pPr>
        <w:spacing w:after="100"/>
      </w:pPr>
      <w:r>
        <w:rPr>
          <w:b/>
          <w:bCs/>
          <w:color w:val="B00020"/>
        </w:rPr>
        <w:t xml:space="preserve">3（誤）</w:t>
      </w:r>
      <w:r>
        <w:t xml:space="preserve">　教材の分類には、音以外の動きや状態、人の心理や痛みなどの感覚も含まれます。実際の音だけに限定する説明は合いません。</w:t>
      </w:r>
    </w:p>
    <w:p>
      <w:pPr>
        <w:spacing w:after="100"/>
      </w:pPr>
      <w:r>
        <w:rPr>
          <w:b/>
          <w:bCs/>
          <w:color w:val="B00020"/>
        </w:rPr>
        <w:t xml:space="preserve">4（誤）</w:t>
      </w:r>
      <w:r>
        <w:t xml:space="preserve">　教材は一つの語の複数の意味・用法を認めています。必ず一語一分類に固定するという説明は、その留保を取り除いています。</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