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アジア歴史資料センターの「台湾総督府国語学校」の解説に合うものを一つ選べ。ここでは同機関についての記載を問い、戦前の全地域の教育を一律に扱わない。</w:t>
      </w:r>
    </w:p>
    <w:p>
      <w:pPr>
        <w:spacing w:after="60"/>
        <w:ind w:left="360"/>
      </w:pPr>
      <w:r>
        <w:t>1. 日本語教育と教員養成のために設けられ、語学部には台湾人に日本語を教える国語学科と、日本人に台湾語を教える土語学科が置かれた。</w:t>
      </w:r>
    </w:p>
    <w:p>
      <w:pPr>
        <w:spacing w:after="60"/>
        <w:ind w:left="360"/>
      </w:pPr>
      <w:r>
        <w:t>2. 語学部の土語学科は、台湾人に日本語を教える学科として説明されている。</w:t>
      </w:r>
    </w:p>
    <w:p>
      <w:pPr>
        <w:spacing w:after="60"/>
        <w:ind w:left="360"/>
      </w:pPr>
      <w:r>
        <w:t>3. 国語学校には語学部だけが置かれ、師範部と附属学校は置かれなかった。</w:t>
      </w:r>
    </w:p>
    <w:p>
      <w:pPr>
        <w:spacing w:after="60"/>
        <w:ind w:left="360"/>
      </w:pPr>
      <w:r>
        <w:t>4. 同解説では、1919年に台湾師範学校から台湾総督府国語学校へ改称されたと記される。</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Foley（1988）の章「Language birth: the processes of pidginization and creolization」の公開導入で、著者が採用すると明示する定義に合うものを一つ選べ。定義には学説上の異論もあることに注意する。</w:t>
      </w:r>
    </w:p>
    <w:p>
      <w:pPr>
        <w:spacing w:after="60"/>
        <w:ind w:left="360"/>
      </w:pPr>
      <w:r>
        <w:t>1. この定義では、ピジンは成立時から必ず全住民の母語である。</w:t>
      </w:r>
    </w:p>
    <w:p>
      <w:pPr>
        <w:spacing w:after="60"/>
        <w:ind w:left="360"/>
      </w:pPr>
      <w:r>
        <w:t>2. この定義では、ピジンが共同体の母語となり、拡張・精緻化する過程をクレオール化として説明する。</w:t>
      </w:r>
    </w:p>
    <w:p>
      <w:pPr>
        <w:spacing w:after="60"/>
        <w:ind w:left="360"/>
      </w:pPr>
      <w:r>
        <w:t>3. この定義では、クレオール化とは接触言語を使う人が全員いなくなることだけをいう。</w:t>
      </w:r>
    </w:p>
    <w:p>
      <w:pPr>
        <w:spacing w:after="60"/>
        <w:ind w:left="360"/>
      </w:pPr>
      <w:r>
        <w:t>4. この定義では、ピジン化は異なる言語の話者間の接触とは無関係に起こるとされる。</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外務省掲載の市民的及び政治的権利に関する国際規約（B規約）第27条が定める、言語的少数民族に属する者の権利について、適切なものを一つ選べ。</w:t>
      </w:r>
    </w:p>
    <w:p>
      <w:pPr>
        <w:spacing w:after="60"/>
        <w:ind w:left="360"/>
      </w:pPr>
      <w:r>
        <w:t>1. その集団の他の構成員とともに自己の言語を使う権利は、条文から除外されている。</w:t>
      </w:r>
    </w:p>
    <w:p>
      <w:pPr>
        <w:spacing w:after="60"/>
        <w:ind w:left="360"/>
      </w:pPr>
      <w:r>
        <w:t>2. 言語的少数民族が存在する国において、当該少数民族に属する者が集団の他の構成員とともに自己の言語を使用する権利は、否定されない。</w:t>
      </w:r>
    </w:p>
    <w:p>
      <w:pPr>
        <w:spacing w:after="60"/>
        <w:ind w:left="360"/>
      </w:pPr>
      <w:r>
        <w:t>3. 第27条は、自己の言語の使用を放棄することを、文化を享有するための要件としている。</w:t>
      </w:r>
    </w:p>
    <w:p>
      <w:pPr>
        <w:spacing w:after="60"/>
        <w:ind w:left="360"/>
      </w:pPr>
      <w:r>
        <w:t>4. 第27条は、少数民族の言語を必ずその国唯一の公用語とするよう定めている。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UNESCOの専門家グループ報告「Language Vitality and Endangerment」（2003）Factor 7が区別する、政策・態度の説明に合うものを一つ選べ。</w:t>
      </w:r>
    </w:p>
    <w:p>
      <w:pPr>
        <w:spacing w:after="60"/>
        <w:ind w:left="360"/>
      </w:pPr>
      <w:r>
        <w:t>1. active assimilationでは、支配的言語による教育を通じて少数集団に自らの言語を放棄するよう促すことが説明される。</w:t>
      </w:r>
    </w:p>
    <w:p>
      <w:pPr>
        <w:spacing w:after="60"/>
        <w:ind w:left="360"/>
      </w:pPr>
      <w:r>
        <w:t>2. equal supportとは、すべての少数言語の使用を禁止することである。</w:t>
      </w:r>
    </w:p>
    <w:p>
      <w:pPr>
        <w:spacing w:after="60"/>
        <w:ind w:left="360"/>
      </w:pPr>
      <w:r>
        <w:t>3. passive assimilationとは、すべての言語の維持を明示的な政策で等しく推進することである。</w:t>
      </w:r>
    </w:p>
    <w:p>
      <w:pPr>
        <w:spacing w:after="60"/>
        <w:ind w:left="360"/>
      </w:pPr>
      <w:r>
        <w:t>4. 同報告の分類では、同化にかかわる状態はすべて明文の言語使用禁止を必須条件とする。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CUNY-NYSIEBの「Developing Students’ Identities as Bilingual Readers and Writers」が示す、トランスランゲージングを取り入れた読み書きの支援に合うものを一つ選べ。</w:t>
      </w:r>
    </w:p>
    <w:p>
      <w:pPr>
        <w:spacing w:after="60"/>
        <w:ind w:left="360"/>
      </w:pPr>
      <w:r>
        <w:t>1. 児童生徒が家庭の言語の知識を使って文章を考えることを、常に禁止する。</w:t>
      </w:r>
    </w:p>
    <w:p>
      <w:pPr>
        <w:spacing w:after="60"/>
        <w:ind w:left="360"/>
      </w:pPr>
      <w:r>
        <w:t>2. 文章が一つの言語で書かれていれば、読者が持つ他の言語の経験を分析や執筆に使う機会をすべて除く。</w:t>
      </w:r>
    </w:p>
    <w:p>
      <w:pPr>
        <w:spacing w:after="60"/>
        <w:ind w:left="360"/>
      </w:pPr>
      <w:r>
        <w:t>3. 文章の言語にかかわらず、学習者が持つ言語レパートリー全体やバイリンガルとしての経験を、文章の検討や執筆に生かす機会を設ける。</w:t>
      </w:r>
    </w:p>
    <w:p>
      <w:pPr>
        <w:spacing w:after="60"/>
        <w:ind w:left="360"/>
      </w:pPr>
      <w:r>
        <w:t>4. この資料の読み書きの支援は、児童生徒を対象とせず、職業翻訳者だけを対象とする。</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Kalamazoo Collegeの留学者家族向け案内が説明するWカーブ・モデルに合うものを一つ選べ。ここでは説明上のモデルを問い、全員が同じ経過をたどるとは仮定しない。</w:t>
      </w:r>
    </w:p>
    <w:p>
      <w:pPr>
        <w:spacing w:after="60"/>
        <w:ind w:left="360"/>
      </w:pPr>
      <w:r>
        <w:t>1. 案内のWカーブは、渡航直後から帰国まで一方向に悪化するだけの経過を描く。</w:t>
      </w:r>
    </w:p>
    <w:p>
      <w:pPr>
        <w:spacing w:after="60"/>
        <w:ind w:left="360"/>
      </w:pPr>
      <w:r>
        <w:t>2. 案内のWカーブは、言語習得の年齢限界だけを横軸にしたモデルである。</w:t>
      </w:r>
    </w:p>
    <w:p>
      <w:pPr>
        <w:spacing w:after="60"/>
        <w:ind w:left="360"/>
      </w:pPr>
      <w:r>
        <w:t>3. 案内のWカーブは、留学中の気持ちの高低に加え、帰国後の再適応に伴う高低も扱う。</w:t>
      </w:r>
    </w:p>
    <w:p>
      <w:pPr>
        <w:spacing w:after="60"/>
        <w:ind w:left="360"/>
      </w:pPr>
      <w:r>
        <w:t>4. 案内のWカーブは、帰国後の生活を対象から除き、渡航先にいる期間だけを扱う。</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British Council向け報告書「Teachers Guide: Foundations in teaching English」（2023）が紹介する、道具的・統合的な学習目的の区別に合うものを一つ選べ。</w:t>
      </w:r>
    </w:p>
    <w:p>
      <w:pPr>
        <w:spacing w:after="60"/>
        <w:ind w:left="360"/>
      </w:pPr>
      <w:r>
        <w:t>1. よりよい仕事や試験合格などの実利を目指す目的は、道具的な側として紹介される。</w:t>
      </w:r>
    </w:p>
    <w:p>
      <w:pPr>
        <w:spacing w:after="60"/>
        <w:ind w:left="360"/>
      </w:pPr>
      <w:r>
        <w:t>2. その言語を話す人々や文化への関心を深めたいという目的は、同資料では道具的な側だけとして紹介される。</w:t>
      </w:r>
    </w:p>
    <w:p>
      <w:pPr>
        <w:spacing w:after="60"/>
        <w:ind w:left="360"/>
      </w:pPr>
      <w:r>
        <w:t>3. 同資料の二つの目的の区別は、学習者の努力量を直接測った点数そのものを表す。</w:t>
      </w:r>
    </w:p>
    <w:p>
      <w:pPr>
        <w:spacing w:after="60"/>
        <w:ind w:left="360"/>
      </w:pPr>
      <w:r>
        <w:t>4. 同資料の紹介から、統合的な目的を持てばあらゆる環境で必ず成績が上回ると結論できる。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Cambridge EnglishのTKT GlossaryのInteractionの項に照らし、授業でやり取りを続けるための方略に合うものを一つ選べ。</w:t>
      </w:r>
    </w:p>
    <w:p>
      <w:pPr>
        <w:spacing w:after="60"/>
        <w:ind w:left="360"/>
      </w:pPr>
      <w:r>
        <w:t>1. 相手の発言が理解できなくても、確認や聞き返しを一切しないことだけを方略とする。</w:t>
      </w:r>
    </w:p>
    <w:p>
      <w:pPr>
        <w:spacing w:after="60"/>
        <w:ind w:left="360"/>
      </w:pPr>
      <w:r>
        <w:t>2. インタラクションは一方向の伝達だけを意味し、聞き手からの応答を含まない。</w:t>
      </w:r>
    </w:p>
    <w:p>
      <w:pPr>
        <w:spacing w:after="60"/>
        <w:ind w:left="360"/>
      </w:pPr>
      <w:r>
        <w:t>3. 相手とのやり取りを続ける工夫から、反復や明確化の要求を必ず除外する。</w:t>
      </w:r>
    </w:p>
    <w:p>
      <w:pPr>
        <w:spacing w:after="60"/>
        <w:ind w:left="360"/>
      </w:pPr>
      <w:r>
        <w:t>4. 相手の発言を繰り返して確かめたり、分からない点の説明を求めたりして、やり取りを続ける。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JALTの「Test Purposes」が説明する離散的項目と統合的項目の区別に合うものを一つ選べ。</w:t>
      </w:r>
    </w:p>
    <w:p>
      <w:pPr>
        <w:spacing w:after="60"/>
        <w:ind w:left="360"/>
      </w:pPr>
      <w:r>
        <w:t>1. 統合的項目とは、単一の知識の一点だけを評価する項目である。</w:t>
      </w:r>
    </w:p>
    <w:p>
      <w:pPr>
        <w:spacing w:after="60"/>
        <w:ind w:left="360"/>
      </w:pPr>
      <w:r>
        <w:t>2. 統合的項目は、同時に複数の技能を使うことを求めない項目である。</w:t>
      </w:r>
    </w:p>
    <w:p>
      <w:pPr>
        <w:spacing w:after="60"/>
        <w:ind w:left="360"/>
      </w:pPr>
      <w:r>
        <w:t>3. 同記事は、ディクテーションを、聞く技能も書く技能も使わない例として挙げる。</w:t>
      </w:r>
    </w:p>
    <w:p>
      <w:pPr>
        <w:spacing w:after="60"/>
        <w:ind w:left="360"/>
      </w:pPr>
      <w:r>
        <w:t>4. 離散的項目は知識の一点を評価しようとし、統合的項目は同時に複数の技能の使用を求めると説明される。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Schachter（1974）「An Error in Error Analysis」の著者要旨で示される、回避を考慮する意義に合うものを一つ選べ。</w:t>
      </w:r>
    </w:p>
    <w:p>
      <w:pPr>
        <w:spacing w:after="60"/>
        <w:ind w:left="360"/>
      </w:pPr>
      <w:r>
        <w:t>1. 誤りが少なくても、困難な構造自体を使わないことで問題が表れにくい可能性を検討する。</w:t>
      </w:r>
    </w:p>
    <w:p>
      <w:pPr>
        <w:spacing w:after="60"/>
        <w:ind w:left="360"/>
      </w:pPr>
      <w:r>
        <w:t>2. 誤りの数が少なければ、その構造を十分に使いこなせることが常に証明される。</w:t>
      </w:r>
    </w:p>
    <w:p>
      <w:pPr>
        <w:spacing w:after="60"/>
        <w:ind w:left="360"/>
      </w:pPr>
      <w:r>
        <w:t>3. 回避とは、この研究では学習者が語学テストを欠席することだけを指す。</w:t>
      </w:r>
    </w:p>
    <w:p>
      <w:pPr>
        <w:spacing w:after="60"/>
        <w:ind w:left="360"/>
      </w:pPr>
      <w:r>
        <w:t>4. 回避の検討では、学習者がその構造をどれだけ用いたかを見る必要がない。</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Flanders自身の「Interaction Analysis: A Technique for Quantifying Teacher Influence」に示された観察法の説明として、適切なものを一つ選べ。</w:t>
      </w:r>
    </w:p>
    <w:p>
      <w:pPr>
        <w:spacing w:after="60"/>
        <w:ind w:left="360"/>
      </w:pPr>
      <w:r>
        <w:t>1. 10個の番号は、番号が大きいほど優れた授業であるという評点を表す。</w:t>
      </w:r>
    </w:p>
    <w:p>
      <w:pPr>
        <w:spacing w:after="60"/>
        <w:ind w:left="360"/>
      </w:pPr>
      <w:r>
        <w:t>2. 訓練した観察者が約3秒ごとにカテゴリ番号を記録し、発話等の連続を行列で扱う。</w:t>
      </w:r>
    </w:p>
    <w:p>
      <w:pPr>
        <w:spacing w:after="60"/>
        <w:ind w:left="360"/>
      </w:pPr>
      <w:r>
        <w:t>3. 教師の発話だけを記録し、生徒の発話と沈黙・混乱はカテゴリに含めない。</w:t>
      </w:r>
    </w:p>
    <w:p>
      <w:pPr>
        <w:spacing w:after="60"/>
        <w:ind w:left="360"/>
      </w:pPr>
      <w:r>
        <w:t>4. あらかじめカテゴリを設けず、観察者の自由な感想文だけを集める。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Kalamazoo Collegeの留学案内に示されたWカーブの説明を授業で紹介する。説明の扱いとして適切なものを一つ選べ。</w:t>
      </w:r>
    </w:p>
    <w:p>
      <w:pPr>
        <w:spacing w:after="60"/>
        <w:ind w:left="360"/>
      </w:pPr>
      <w:r>
        <w:t>1. モデルの危機という言葉だけで、特定の学習者に精神疾患があると診断する。</w:t>
      </w:r>
    </w:p>
    <w:p>
      <w:pPr>
        <w:spacing w:after="60"/>
        <w:ind w:left="360"/>
      </w:pPr>
      <w:r>
        <w:t>2. モデルの説明があれば、全員の適応に必要な期間を同じ日数で確定できると教える。</w:t>
      </w:r>
    </w:p>
    <w:p>
      <w:pPr>
        <w:spacing w:after="60"/>
        <w:ind w:left="360"/>
      </w:pPr>
      <w:r>
        <w:t>3. 新しい経験への高揚やその後の落込み・持ち直しを示す説明上のモデルとして紹介し、個人の経過を一律に決めない。</w:t>
      </w:r>
    </w:p>
    <w:p>
      <w:pPr>
        <w:spacing w:after="60"/>
        <w:ind w:left="360"/>
      </w:pPr>
      <w:r>
        <w:t>4. 帰国後の適応はこのモデルに含まれないとして、帰国時の戸惑いの説明には触れない。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欧州評議会が紹介するCassis（2012）の異文化理解研修では、クリティカル・インシデントを扱う活動が説明されている。その活動に合うものを一つ選べ。</w:t>
      </w:r>
    </w:p>
    <w:p>
      <w:pPr>
        <w:spacing w:after="60"/>
        <w:ind w:left="360"/>
      </w:pPr>
      <w:r>
        <w:t>1. 出来事を検討せず、異文化に接した人全員が自己のアイデンティティを失うと判定する。</w:t>
      </w:r>
    </w:p>
    <w:p>
      <w:pPr>
        <w:spacing w:after="60"/>
        <w:ind w:left="360"/>
      </w:pPr>
      <w:r>
        <w:t>2. 誤解の場面について話し合わず、発音の点数だけを測る。</w:t>
      </w:r>
    </w:p>
    <w:p>
      <w:pPr>
        <w:spacing w:after="60"/>
        <w:ind w:left="360"/>
      </w:pPr>
      <w:r>
        <w:t>3. 相手の行動の理由を調べず、最初の印象だけを最終結論にする。</w:t>
      </w:r>
    </w:p>
    <w:p>
      <w:pPr>
        <w:spacing w:after="60"/>
        <w:ind w:left="360"/>
      </w:pPr>
      <w:r>
        <w:t>4. 異文化接触での行き違いや誤解の場面を話し合い、建設的に対応するための能力を検討する。</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ヤスコ・ナガノ・マドセン、杉藤美代子（1999）「東京と大阪の談話におけるあいづちの種類とその運用」の2.2節に示された定義に合うものを一つ選べ。</w:t>
      </w:r>
    </w:p>
    <w:p>
      <w:pPr>
        <w:spacing w:after="60"/>
        <w:ind w:left="360"/>
      </w:pPr>
      <w:r>
        <w:t>1. あいづちは必ず内容への賛成だけを表し、聞いていることを伝える働きは含まない。</w:t>
      </w:r>
    </w:p>
    <w:p>
      <w:pPr>
        <w:spacing w:after="60"/>
        <w:ind w:left="360"/>
      </w:pPr>
      <w:r>
        <w:t>2. 同節の広義のあいづちには、うなずきなどの非言語的行動は一切含まれない。</w:t>
      </w:r>
    </w:p>
    <w:p>
      <w:pPr>
        <w:spacing w:after="60"/>
        <w:ind w:left="360"/>
      </w:pPr>
      <w:r>
        <w:t>3. 同節では、話の内容を変える実質的な反論も、すべてあいづちとして分析する。</w:t>
      </w:r>
    </w:p>
    <w:p>
      <w:pPr>
        <w:spacing w:after="60"/>
        <w:ind w:left="360"/>
      </w:pPr>
      <w:r>
        <w:t>4. 聞いていること、分かったこと、さらに聞きたいことなどを示し、対話を進める働きを持つ応答が扱われる。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次は聞き手の応答を考えるための架空の会話である。G「昨日、レストランに行ったんだけどね。」F「はい。」G「パスタがおいしくてさ。」F「そうですか。それで？」G「店員さんも親切だったよ。」F「はい。次は？」会話の後、Gは「早く次を話すよう急かされたと感じた」と述べ、Fは「続きを聞きたいつもりだった」と述べた。この情報に基づく授業での扱いとして適切なものを一つ選べ。</w:t>
      </w:r>
    </w:p>
    <w:p>
      <w:pPr>
        <w:spacing w:after="60"/>
        <w:ind w:left="360"/>
      </w:pPr>
      <w:r>
        <w:t>1. Fが自分の意見だけを長時間述べたと、会話にない発言を補って評価する。</w:t>
      </w:r>
    </w:p>
    <w:p>
      <w:pPr>
        <w:spacing w:after="60"/>
        <w:ind w:left="360"/>
      </w:pPr>
      <w:r>
        <w:t>2. FはGの話を一切聞きたくなかったと、F自身の説明を検討せずに意図を確定する。</w:t>
      </w:r>
    </w:p>
    <w:p>
      <w:pPr>
        <w:spacing w:after="60"/>
        <w:ind w:left="360"/>
      </w:pPr>
      <w:r>
        <w:t>3. 続きへの関心を示す意図と相手の受け止めがずれた点を確認し、言い方や間の取り方も含めて応答を検討する。</w:t>
      </w:r>
    </w:p>
    <w:p>
      <w:pPr>
        <w:spacing w:after="60"/>
        <w:ind w:left="360"/>
      </w:pPr>
      <w:r>
        <w:t>4. 「それで？」という語だけで、どの場面でも必ず無礼になると一般化する。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British Council掲載のDavid Heathfield「Online Storytelling: Engaging, Personal, Creative」が紹介するオンライン授業の工夫に合うものを一つ選べ。利用できる機能は実際の環境で確認する。</w:t>
      </w:r>
    </w:p>
    <w:p>
      <w:pPr>
        <w:spacing w:after="60"/>
        <w:ind w:left="360"/>
      </w:pPr>
      <w:r>
        <w:t>1. チャットで物語への質問や予想を書き、音声で応答するなど、複数の手段を活動に組み合わせる。</w:t>
      </w:r>
    </w:p>
    <w:p>
      <w:pPr>
        <w:spacing w:after="60"/>
        <w:ind w:left="360"/>
      </w:pPr>
      <w:r>
        <w:t>2. 同記事は、チャットによる質問を一切禁じ、教師の音声だけに活動を限定する。</w:t>
      </w:r>
    </w:p>
    <w:p>
      <w:pPr>
        <w:spacing w:after="60"/>
        <w:ind w:left="360"/>
      </w:pPr>
      <w:r>
        <w:t>3. 同記事は、物語を予想するペア活動を小部屋で行う案を全く紹介していない。</w:t>
      </w:r>
    </w:p>
    <w:p>
      <w:pPr>
        <w:spacing w:after="60"/>
        <w:ind w:left="360"/>
      </w:pPr>
      <w:r>
        <w:t>4. 同記事では、参加者のカメラが使えない場合は身体表現を試す活動にも一切参加できないとされる。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Skehan（2009）「Modelling Second Language Performance」の導入で述べるトレードオフ仮説の説明に合うものを一つ選べ。</w:t>
      </w:r>
    </w:p>
    <w:p>
      <w:pPr>
        <w:spacing w:after="60"/>
        <w:ind w:left="360"/>
      </w:pPr>
      <w:r>
        <w:t>1. 注意・作動記憶の容量に限りがあるという前提で、他の条件が同じなら、ある側面への注意が他の側面の遂行を低下させる可能性を考える。</w:t>
      </w:r>
    </w:p>
    <w:p>
      <w:pPr>
        <w:spacing w:after="60"/>
        <w:ind w:left="360"/>
      </w:pPr>
      <w:r>
        <w:t>2. 複雑さ・正確さ・流暢さは、どの条件でも必ず同時に同じ割合だけ上がるとする。</w:t>
      </w:r>
    </w:p>
    <w:p>
      <w:pPr>
        <w:spacing w:after="60"/>
        <w:ind w:left="360"/>
      </w:pPr>
      <w:r>
        <w:t>3. 正確さに注意を向けるだけで、他の条件にかかわらず流暢さが必ず最大になるとする。</w:t>
      </w:r>
    </w:p>
    <w:p>
      <w:pPr>
        <w:spacing w:after="60"/>
        <w:ind w:left="360"/>
      </w:pPr>
      <w:r>
        <w:t>4. 同論文は、正確さと複雑さが共に高まる例を一つも扱わず、両立を理論上不可能とする。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髙橋美奈子・谷部弘子・本田明子（2017）の論文では、同一話者の前後の発話間で基本的なスピーチレベルから一時的に移ることを、何と呼んでいるか。同論文4.2節の用語を一つ選べ。</w:t>
      </w:r>
    </w:p>
    <w:p>
      <w:pPr>
        <w:spacing w:after="60"/>
        <w:ind w:left="360"/>
      </w:pPr>
      <w:r>
        <w:t xml:space="preserve">1. スピーチレベルシフト</w:t>
      </w:r>
    </w:p>
    <w:p>
      <w:pPr>
        <w:spacing w:after="60"/>
        <w:ind w:left="360"/>
      </w:pPr>
      <w:r>
        <w:t>2. スピーチレベルが同じまま全く動かないこと</w:t>
      </w:r>
    </w:p>
    <w:p>
      <w:pPr>
        <w:spacing w:after="60"/>
        <w:ind w:left="360"/>
      </w:pPr>
      <w:r>
        <w:t>3. 語の個数だけを数えること</w:t>
      </w:r>
    </w:p>
    <w:p>
      <w:pPr>
        <w:spacing w:after="60"/>
        <w:ind w:left="360"/>
      </w:pPr>
      <w:r>
        <w:t>4. 文字の書体だけを変えること</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東京外国語大学の2014年の取組紹介で説明される「コミュニティ通訳」の役割に合うものを一つ選べ。</w:t>
      </w:r>
    </w:p>
    <w:p>
      <w:pPr>
        <w:spacing w:after="60"/>
        <w:ind w:left="360"/>
      </w:pPr>
      <w:r>
        <w:t>1. 相談に来た人の発言を通訳せず、本人の希望と無関係に通訳者だけで相談内容を決める。</w:t>
      </w:r>
    </w:p>
    <w:p>
      <w:pPr>
        <w:spacing w:after="60"/>
        <w:ind w:left="360"/>
      </w:pPr>
      <w:r>
        <w:t>2. 言語面の橋渡しをせず、日本語の文法試験の採点だけを担う。</w:t>
      </w:r>
    </w:p>
    <w:p>
      <w:pPr>
        <w:spacing w:after="60"/>
        <w:ind w:left="360"/>
      </w:pPr>
      <w:r>
        <w:t>3. 言語的マイノリティーを言語面で支え、ホスト社会との橋渡しをする。法律相談では専門家の助言を正確に通訳することも課題となる。</w:t>
      </w:r>
    </w:p>
    <w:p>
      <w:pPr>
        <w:spacing w:after="60"/>
        <w:ind w:left="360"/>
      </w:pPr>
      <w:r>
        <w:t>4. 相談の通訳と称して、専門家の助言を伝えることを役割から全面的に除外する。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留学中の適応に加え、帰国後の戸惑いと再適応も含めて説明するモデルとして、Kalamazoo Collegeの留学案内に挙げられるものを一つ選べ。</w:t>
      </w:r>
    </w:p>
    <w:p>
      <w:pPr>
        <w:spacing w:after="60"/>
        <w:ind w:left="360"/>
      </w:pPr>
      <w:r>
        <w:t>1. 帰国後の過程を描かず、滞在中の落込みと回復だけを一つの谷で示すモデル</w:t>
      </w:r>
    </w:p>
    <w:p>
      <w:pPr>
        <w:spacing w:after="60"/>
        <w:ind w:left="360"/>
      </w:pPr>
      <w:r>
        <w:t>2. 適応の高低を描かず、学習した語の個数だけを示すモデル</w:t>
      </w:r>
    </w:p>
    <w:p>
      <w:pPr>
        <w:spacing w:after="60"/>
        <w:ind w:left="360"/>
      </w:pPr>
      <w:r>
        <w:t>3. 渡航先と母国の言語の語順だけを比較するモデル</w:t>
      </w:r>
    </w:p>
    <w:p>
      <w:pPr>
        <w:spacing w:after="60"/>
        <w:ind w:left="360"/>
      </w:pPr>
      <w:r>
        <w:t>4. Wカーブ・モデル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モジュール制の具体例として、Cambridge Englishが公表するDELTAの構成と受講順序の説明に合うものを一つ選べ。すべてのモジュール型コースが同じ条件とは限らない。</w:t>
      </w:r>
    </w:p>
    <w:p>
      <w:pPr>
        <w:spacing w:after="60"/>
        <w:ind w:left="360"/>
      </w:pPr>
      <w:r>
        <w:t>1. DELTAは一つの分割できない科目だけで構成される。</w:t>
      </w:r>
    </w:p>
    <w:p>
      <w:pPr>
        <w:spacing w:after="60"/>
        <w:ind w:left="360"/>
      </w:pPr>
      <w:r>
        <w:t>2. DELTAは三つのモジュールからなり、任意の順序・組合せで受けられると案内されている。</w:t>
      </w:r>
    </w:p>
    <w:p>
      <w:pPr>
        <w:spacing w:after="60"/>
        <w:ind w:left="360"/>
      </w:pPr>
      <w:r>
        <w:t>3. DELTAのモジュールは、必ず番号と逆の順番に受けるよう一律に義務付けられている。</w:t>
      </w:r>
    </w:p>
    <w:p>
      <w:pPr>
        <w:spacing w:after="60"/>
        <w:ind w:left="360"/>
      </w:pPr>
      <w:r>
        <w:t>4. DELTAではどのモジュールを受ける場合も、三つ全部を同時に始めることだけが認められる。</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国立国語研究所「ことば研究館」掲載の笹原宏之による文字の解説が述べる、日本語と中国語の一般的な表記の対比に合うものを一つ選べ。</w:t>
      </w:r>
    </w:p>
    <w:p>
      <w:pPr>
        <w:spacing w:after="60"/>
        <w:ind w:left="360"/>
      </w:pPr>
      <w:r>
        <w:t>1. 日本語の一般的な表記では漢字を使わず、ひらがな一種類だけを用いる。</w:t>
      </w:r>
    </w:p>
    <w:p>
      <w:pPr>
        <w:spacing w:after="60"/>
        <w:ind w:left="360"/>
      </w:pPr>
      <w:r>
        <w:t>2. 日本語は一般に漢字とひらがな・カタカナを交えて書かれ、中国語は漢字による表記がほとんどと説明される。</w:t>
      </w:r>
    </w:p>
    <w:p>
      <w:pPr>
        <w:spacing w:after="60"/>
        <w:ind w:left="360"/>
      </w:pPr>
      <w:r>
        <w:t>3. 中国語では漢字を使わず、一般の文章をすべてひらがなだけで書くと説明される。</w:t>
      </w:r>
    </w:p>
    <w:p>
      <w:pPr>
        <w:spacing w:after="60"/>
        <w:ind w:left="360"/>
      </w:pPr>
      <w:r>
        <w:t>4. 同解説は、日本語ではローマ字を用いることが一切ないと説明している。</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同センターの解説にある設置目的と語学部の二学科の対象に対応します。</w:t>
      </w:r>
    </w:p>
    <w:p>
      <w:pPr>
        <w:spacing w:after="100"/>
      </w:pPr>
      <w:r>
        <w:rPr>
          <w:b/>
          <w:bCs/>
          <w:color w:val="B00020"/>
        </w:rPr>
        <w:t xml:space="preserve">2（誤）</w:t>
      </w:r>
      <w:r>
        <w:t xml:space="preserve">　対象と言語の組合せが逆です。土語学科は日本人に台湾語を教えるものと説明されています。</w:t>
      </w:r>
    </w:p>
    <w:p>
      <w:pPr>
        <w:spacing w:after="100"/>
      </w:pPr>
      <w:r>
        <w:rPr>
          <w:b/>
          <w:bCs/>
          <w:color w:val="B00020"/>
        </w:rPr>
        <w:t xml:space="preserve">3（誤）</w:t>
      </w:r>
      <w:r>
        <w:t xml:space="preserve">　解説は師範部、語学部、附属学校の設置を記しています。</w:t>
      </w:r>
    </w:p>
    <w:p>
      <w:pPr>
        <w:spacing w:after="100"/>
      </w:pPr>
      <w:r>
        <w:rPr>
          <w:b/>
          <w:bCs/>
          <w:color w:val="B00020"/>
        </w:rPr>
        <w:t xml:space="preserve">4（誤）</w:t>
      </w:r>
      <w:r>
        <w:t xml:space="preserve">　改称の方向が逆です。1919年に国語学校は台湾師範学校となったと記されています。</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著者は本章で採用する定義ではピジンは誰の母語でもないとしています。</w:t>
      </w:r>
    </w:p>
    <w:p>
      <w:pPr>
        <w:spacing w:after="100"/>
      </w:pPr>
      <w:r>
        <w:rPr>
          <w:b/>
          <w:bCs/>
          <w:color w:val="2E7D32"/>
        </w:rPr>
        <w:t xml:space="preserve">2（正）</w:t>
      </w:r>
      <w:r>
        <w:t xml:space="preserve">　公開導入の母語化と拡張・精緻化の説明に対応します。すべての研究者が同じ定義を採るという意味ではありません。</w:t>
      </w:r>
    </w:p>
    <w:p>
      <w:pPr>
        <w:spacing w:after="100"/>
      </w:pPr>
      <w:r>
        <w:rPr>
          <w:b/>
          <w:bCs/>
          <w:color w:val="B00020"/>
        </w:rPr>
        <w:t xml:space="preserve">3（誤）</w:t>
      </w:r>
      <w:r>
        <w:t xml:space="preserve">　著者は母語化に伴う拡張・精緻化を説明しており、話者の消失の定義ではありません。</w:t>
      </w:r>
    </w:p>
    <w:p>
      <w:pPr>
        <w:spacing w:after="100"/>
      </w:pPr>
      <w:r>
        <w:rPr>
          <w:b/>
          <w:bCs/>
          <w:color w:val="B00020"/>
        </w:rPr>
        <w:t xml:space="preserve">4（誤）</w:t>
      </w:r>
      <w:r>
        <w:t xml:space="preserve">　公開導入は異なる言語を話す集団間の社会的・経済的な接触を説明しています。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条文は自己の言語を使用する権利を明示しています。</w:t>
      </w:r>
    </w:p>
    <w:p>
      <w:pPr>
        <w:spacing w:after="100"/>
      </w:pPr>
      <w:r>
        <w:rPr>
          <w:b/>
          <w:bCs/>
          <w:color w:val="2E7D32"/>
        </w:rPr>
        <w:t xml:space="preserve">2（正）</w:t>
      </w:r>
      <w:r>
        <w:t xml:space="preserve">　第27条の対象と権利の内容に対応します。ここからあらゆる行政サービスの使用言語まで一律には導きません。</w:t>
      </w:r>
    </w:p>
    <w:p>
      <w:pPr>
        <w:spacing w:after="100"/>
      </w:pPr>
      <w:r>
        <w:rPr>
          <w:b/>
          <w:bCs/>
          <w:color w:val="B00020"/>
        </w:rPr>
        <w:t xml:space="preserve">3（誤）</w:t>
      </w:r>
      <w:r>
        <w:t xml:space="preserve">　言語の放棄を要件とする記述はありません。文化・宗教・言語に関する権利を否定されないとしています。</w:t>
      </w:r>
    </w:p>
    <w:p>
      <w:pPr>
        <w:spacing w:after="100"/>
      </w:pPr>
      <w:r>
        <w:rPr>
          <w:b/>
          <w:bCs/>
          <w:color w:val="B00020"/>
        </w:rPr>
        <w:t xml:space="preserve">4（誤）</w:t>
      </w:r>
      <w:r>
        <w:t xml:space="preserve">　唯一の公用語への指定を義務付ける条文ではありません。自己の言語を使用する権利と区別します。</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Factor 7のactive assimilationの説明に対応します。</w:t>
      </w:r>
    </w:p>
    <w:p>
      <w:pPr>
        <w:spacing w:after="100"/>
      </w:pPr>
      <w:r>
        <w:rPr>
          <w:b/>
          <w:bCs/>
          <w:color w:val="B00020"/>
        </w:rPr>
        <w:t xml:space="preserve">2（誤）</w:t>
      </w:r>
      <w:r>
        <w:t xml:space="preserve">　equal supportはすべての言語を価値あるものとし、保護と維持を促す側です。</w:t>
      </w:r>
    </w:p>
    <w:p>
      <w:pPr>
        <w:spacing w:after="100"/>
      </w:pPr>
      <w:r>
        <w:rPr>
          <w:b/>
          <w:bCs/>
          <w:color w:val="B00020"/>
        </w:rPr>
        <w:t xml:space="preserve">3（誤）</w:t>
      </w:r>
      <w:r>
        <w:t xml:space="preserve">　その説明はequal supportの側です。passive assimilationは、明示的政策がなくても支配的言語が優勢な状態を含みます。</w:t>
      </w:r>
    </w:p>
    <w:p>
      <w:pPr>
        <w:spacing w:after="100"/>
      </w:pPr>
      <w:r>
        <w:rPr>
          <w:b/>
          <w:bCs/>
          <w:color w:val="B00020"/>
        </w:rPr>
        <w:t xml:space="preserve">4（誤）</w:t>
      </w:r>
      <w:r>
        <w:t xml:space="preserve">　同報告はpassive assimilationなどとprohibitionを区別しています。同化をすべて明文禁止と同一視できません。</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同資料は持っている言語の知識や経験を資源として扱っています。家庭の言語の全面禁止ではありません。</w:t>
      </w:r>
    </w:p>
    <w:p>
      <w:pPr>
        <w:spacing w:after="100"/>
      </w:pPr>
      <w:r>
        <w:rPr>
          <w:b/>
          <w:bCs/>
          <w:color w:val="B00020"/>
        </w:rPr>
        <w:t xml:space="preserve">2（誤）</w:t>
      </w:r>
      <w:r>
        <w:t xml:space="preserve">　同資料は文章の言語にかかわらず、言語レパートリー全体を生かす機会を勧めています。</w:t>
      </w:r>
    </w:p>
    <w:p>
      <w:pPr>
        <w:spacing w:after="100"/>
      </w:pPr>
      <w:r>
        <w:rPr>
          <w:b/>
          <w:bCs/>
          <w:color w:val="2E7D32"/>
        </w:rPr>
        <w:t xml:space="preserve">3（正）</w:t>
      </w:r>
      <w:r>
        <w:t xml:space="preserve">　同資料の第1原則に対応します。特定の手法だけで全員の学習成果が必ず上がるという因果保証ではありません。</w:t>
      </w:r>
    </w:p>
    <w:p>
      <w:pPr>
        <w:spacing w:after="100"/>
      </w:pPr>
      <w:r>
        <w:rPr>
          <w:b/>
          <w:bCs/>
          <w:color w:val="B00020"/>
        </w:rPr>
        <w:t xml:space="preserve">4（誤）</w:t>
      </w:r>
      <w:r>
        <w:t xml:space="preserve">　資料は児童生徒の読み手・書き手としての学習環境を扱っています。専門翻訳者だけに限っていません。</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spacing w:after="100"/>
      </w:pPr>
      <w:r>
        <w:rPr>
          <w:b/>
          <w:bCs/>
          <w:color w:val="B00020"/>
        </w:rPr>
        <w:t xml:space="preserve">2（誤）</w:t>
      </w:r>
      <w:r>
        <w:t xml:space="preserve">　案内は留学と帰国に伴う適応の経過を扱っています。言語習得の年齢限界のモデルではありません。</w:t>
      </w:r>
    </w:p>
    <w:p>
      <w:pPr>
        <w:spacing w:after="100"/>
      </w:pPr>
      <w:r>
        <w:rPr>
          <w:b/>
          <w:bCs/>
          <w:color w:val="2E7D32"/>
        </w:rPr>
        <w:t xml:space="preserve">3（正）</w:t>
      </w:r>
      <w:r>
        <w:t xml:space="preserve">　案内の二つの質問への説明に対応します。留学中と帰国後の両方を含めて理解します。</w:t>
      </w:r>
    </w:p>
    <w:p>
      <w:pPr>
        <w:spacing w:after="100"/>
      </w:pPr>
      <w:r>
        <w:rPr>
          <w:b/>
          <w:bCs/>
          <w:color w:val="B00020"/>
        </w:rPr>
        <w:t xml:space="preserve">4（誤）</w:t>
      </w:r>
      <w:r>
        <w:t xml:space="preserve">　案内は帰国後にも曲線が続くと説明しています。帰国後を除外する説明は合いません。</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同報告書の当該節は、仕事や試験合格などの利点を道具的な側の例に挙げています。</w:t>
      </w:r>
    </w:p>
    <w:p>
      <w:pPr>
        <w:spacing w:after="100"/>
      </w:pPr>
      <w:r>
        <w:rPr>
          <w:b/>
          <w:bCs/>
          <w:color w:val="B00020"/>
        </w:rPr>
        <w:t xml:space="preserve">2（誤）</w:t>
      </w:r>
      <w:r>
        <w:t xml:space="preserve">　人々や文化への関心と接触を求める側は、統合的な側として紹介されています。</w:t>
      </w:r>
    </w:p>
    <w:p>
      <w:pPr>
        <w:spacing w:after="100"/>
      </w:pPr>
      <w:r>
        <w:rPr>
          <w:b/>
          <w:bCs/>
          <w:color w:val="B00020"/>
        </w:rPr>
        <w:t xml:space="preserve">3（誤）</w:t>
      </w:r>
      <w:r>
        <w:t xml:space="preserve">　学ぶ理由・目的の区別と、実際の努力量や行動の強さの測定は同じではありません。</w:t>
      </w:r>
    </w:p>
    <w:p>
      <w:pPr>
        <w:spacing w:after="100"/>
      </w:pPr>
      <w:r>
        <w:rPr>
          <w:b/>
          <w:bCs/>
          <w:color w:val="B00020"/>
        </w:rPr>
        <w:t xml:space="preserve">4（誤）</w:t>
      </w:r>
      <w:r>
        <w:t xml:space="preserve">　当該節は学習文脈による適用上の限界にも触れています。あらゆる場面での優越を証明していません。</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同用語集は明確化を求めることを方略の例に挙げています。確認を全面的に排除する説明は合いません。</w:t>
      </w:r>
    </w:p>
    <w:p>
      <w:pPr>
        <w:spacing w:after="100"/>
      </w:pPr>
      <w:r>
        <w:rPr>
          <w:b/>
          <w:bCs/>
          <w:color w:val="B00020"/>
        </w:rPr>
        <w:t xml:space="preserve">2（誤）</w:t>
      </w:r>
      <w:r>
        <w:t xml:space="preserve">　同項は話し手と聞き手などの双方向のコミュニケーションとして説明しています。</w:t>
      </w:r>
    </w:p>
    <w:p>
      <w:pPr>
        <w:spacing w:after="100"/>
      </w:pPr>
      <w:r>
        <w:rPr>
          <w:b/>
          <w:bCs/>
          <w:color w:val="B00020"/>
        </w:rPr>
        <w:t xml:space="preserve">3（誤）</w:t>
      </w:r>
      <w:r>
        <w:t xml:space="preserve">　反復や明確化の要求は同項に挙げられた例です。</w:t>
      </w:r>
    </w:p>
    <w:p>
      <w:pPr>
        <w:spacing w:after="100"/>
      </w:pPr>
      <w:r>
        <w:rPr>
          <w:b/>
          <w:bCs/>
          <w:color w:val="2E7D32"/>
        </w:rPr>
        <w:t xml:space="preserve">4（正）</w:t>
      </w:r>
      <w:r>
        <w:t xml:space="preserve">　同項の方略の例に対応します。全員の習得速度や不安への効果を保証する説明ではありません。</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同記事が離散的項目に与える説明と取り違えています。</w:t>
      </w:r>
    </w:p>
    <w:p>
      <w:pPr>
        <w:spacing w:after="100"/>
      </w:pPr>
      <w:r>
        <w:rPr>
          <w:b/>
          <w:bCs/>
          <w:color w:val="B00020"/>
        </w:rPr>
        <w:t xml:space="preserve">2（誤）</w:t>
      </w:r>
      <w:r>
        <w:t xml:space="preserve">　同記事は複数の技能を同時に使うことを統合的項目の特徴として説明しています。</w:t>
      </w:r>
    </w:p>
    <w:p>
      <w:pPr>
        <w:spacing w:after="100"/>
      </w:pPr>
      <w:r>
        <w:rPr>
          <w:b/>
          <w:bCs/>
          <w:color w:val="B00020"/>
        </w:rPr>
        <w:t xml:space="preserve">3（誤）</w:t>
      </w:r>
      <w:r>
        <w:t xml:space="preserve">　同記事は聞くことと書くことを用いる例としてディクテーションを挙げています。</w:t>
      </w:r>
    </w:p>
    <w:p>
      <w:pPr>
        <w:spacing w:after="100"/>
      </w:pPr>
      <w:r>
        <w:rPr>
          <w:b/>
          <w:bCs/>
          <w:color w:val="2E7D32"/>
        </w:rPr>
        <w:t xml:space="preserve">4（正）</w:t>
      </w:r>
      <w:r>
        <w:t xml:space="preserve">　同記事の対比に合います。表面上の形式だけで、あらゆる課題の測定内容が同じだと決めるものではありません。</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著者要旨は、関係節を使うことを避けるために誤用だけからは困難を捉えにくい点を述べています。使用量にも注意を向ける説明です。</w:t>
      </w:r>
    </w:p>
    <w:p>
      <w:pPr>
        <w:spacing w:after="100"/>
      </w:pPr>
      <w:r>
        <w:rPr>
          <w:b/>
          <w:bCs/>
          <w:color w:val="B00020"/>
        </w:rPr>
        <w:t xml:space="preserve">2（誤）</w:t>
      </w:r>
      <w:r>
        <w:t xml:space="preserve">　誤りが少ないことと、その構造の使用・習得が十分であることを同一視していません。</w:t>
      </w:r>
    </w:p>
    <w:p>
      <w:pPr>
        <w:spacing w:after="100"/>
      </w:pPr>
      <w:r>
        <w:rPr>
          <w:b/>
          <w:bCs/>
          <w:color w:val="B00020"/>
        </w:rPr>
        <w:t xml:space="preserve">3（誤）</w:t>
      </w:r>
      <w:r>
        <w:t xml:space="preserve">　著者要旨が扱うのは英語関係節の使用です。テストの欠席だけを扱う話ではありません。</w:t>
      </w:r>
    </w:p>
    <w:p>
      <w:pPr>
        <w:spacing w:after="100"/>
      </w:pPr>
      <w:r>
        <w:rPr>
          <w:b/>
          <w:bCs/>
          <w:color w:val="B00020"/>
        </w:rPr>
        <w:t xml:space="preserve">4（誤）</w:t>
      </w:r>
      <w:r>
        <w:t xml:space="preserve">　使わないことで困難が表れにくいという指摘です。構造の使用を検討対象から外す対応は合いません。</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原論文の表1注記は、番号は分類であり尺度上の優劣ではないと明記しています。</w:t>
      </w:r>
    </w:p>
    <w:p>
      <w:pPr>
        <w:spacing w:after="100"/>
      </w:pPr>
      <w:r>
        <w:rPr>
          <w:b/>
          <w:bCs/>
          <w:color w:val="2E7D32"/>
        </w:rPr>
        <w:t xml:space="preserve">2（正）</w:t>
      </w:r>
      <w:r>
        <w:t xml:space="preserve">　印刷3〜5頁の手続に対応します。表1は教師の発話、生徒の応答・自発発話、沈黙・混乱を分類しています。</w:t>
      </w:r>
    </w:p>
    <w:p>
      <w:pPr>
        <w:spacing w:after="100"/>
      </w:pPr>
      <w:r>
        <w:rPr>
          <w:b/>
          <w:bCs/>
          <w:color w:val="B00020"/>
        </w:rPr>
        <w:t xml:space="preserve">3（誤）</w:t>
      </w:r>
      <w:r>
        <w:t xml:space="preserve">　表1には生徒の応答・自発発話、沈黙・混乱も含まれます。教師の発話だけに限定しません。</w:t>
      </w:r>
    </w:p>
    <w:p>
      <w:pPr>
        <w:spacing w:after="100"/>
      </w:pPr>
      <w:r>
        <w:rPr>
          <w:b/>
          <w:bCs/>
          <w:color w:val="B00020"/>
        </w:rPr>
        <w:t xml:space="preserve">4（誤）</w:t>
      </w:r>
      <w:r>
        <w:t xml:space="preserve">　同論文は10カテゴリと記録・行列化の手続を示しています。自由な感想だけの方法ではありません。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spacing w:after="100"/>
      </w:pPr>
      <w:r>
        <w:rPr>
          <w:b/>
          <w:bCs/>
          <w:color w:val="B00020"/>
        </w:rPr>
        <w:t xml:space="preserve">2（誤）</w:t>
      </w:r>
      <w:r>
        <w:t xml:space="preserve">　案内は全員共通の日数を示していません。モデルから固定日程を導くことはできません。</w:t>
      </w:r>
    </w:p>
    <w:p>
      <w:pPr>
        <w:spacing w:after="100"/>
      </w:pPr>
      <w:r>
        <w:rPr>
          <w:b/>
          <w:bCs/>
          <w:color w:val="2E7D32"/>
        </w:rPr>
        <w:t xml:space="preserve">3（正）</w:t>
      </w:r>
      <w:r>
        <w:t xml:space="preserve">　案内に示された高低の説明を、範囲を限定して紹介する扱いです。特定の個人の状態を曲線だけで確定しません。</w:t>
      </w:r>
    </w:p>
    <w:p>
      <w:pPr>
        <w:spacing w:after="100"/>
      </w:pPr>
      <w:r>
        <w:rPr>
          <w:b/>
          <w:bCs/>
          <w:color w:val="B00020"/>
        </w:rPr>
        <w:t xml:space="preserve">4（誤）</w:t>
      </w:r>
      <w:r>
        <w:t xml:space="preserve">　案内は帰国後の戸惑いと再適応にも触れています。そこを含まないとする説明は合いません。</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研修紹介は実践や前提を振り返り検討する活動です。全員の心理状態を一律に判定する説明ではありません。</w:t>
      </w:r>
    </w:p>
    <w:p>
      <w:pPr>
        <w:spacing w:after="100"/>
      </w:pPr>
      <w:r>
        <w:rPr>
          <w:b/>
          <w:bCs/>
          <w:color w:val="B00020"/>
        </w:rPr>
        <w:t xml:space="preserve">2（誤）</w:t>
      </w:r>
      <w:r>
        <w:t xml:space="preserve">　紹介は行き違いや誤解の場面の討議を含みます。発音の採点だけではありません。</w:t>
      </w:r>
    </w:p>
    <w:p>
      <w:pPr>
        <w:spacing w:after="100"/>
      </w:pPr>
      <w:r>
        <w:rPr>
          <w:b/>
          <w:bCs/>
          <w:color w:val="B00020"/>
        </w:rPr>
        <w:t xml:space="preserve">3（誤）</w:t>
      </w:r>
      <w:r>
        <w:t xml:space="preserve">　紹介は自分の前提を見直すことも含みます。最初の印象だけで検討を終える活動ではありません。</w:t>
      </w:r>
    </w:p>
    <w:p>
      <w:pPr>
        <w:spacing w:after="100"/>
      </w:pPr>
      <w:r>
        <w:rPr>
          <w:b/>
          <w:bCs/>
          <w:color w:val="2E7D32"/>
        </w:rPr>
        <w:t xml:space="preserve">4（正）</w:t>
      </w:r>
      <w:r>
        <w:t xml:space="preserve">　研修紹介の説明に対応します。出来事の原因を最初から文化差だけに限定するという意味ではありません。</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同節の定義は、聴取・理解・続きへの関心などを含みます。賛成だけに限定しません。</w:t>
      </w:r>
    </w:p>
    <w:p>
      <w:pPr>
        <w:spacing w:after="100"/>
      </w:pPr>
      <w:r>
        <w:rPr>
          <w:b/>
          <w:bCs/>
          <w:color w:val="B00020"/>
        </w:rPr>
        <w:t xml:space="preserve">2（誤）</w:t>
      </w:r>
      <w:r>
        <w:t xml:space="preserve">　同節は同様の働きを持つ非言語的行動も広義に含めます。ただし実際の分析対象とは区別しています。</w:t>
      </w:r>
    </w:p>
    <w:p>
      <w:pPr>
        <w:spacing w:after="100"/>
      </w:pPr>
      <w:r>
        <w:rPr>
          <w:b/>
          <w:bCs/>
          <w:color w:val="B00020"/>
        </w:rPr>
        <w:t xml:space="preserve">3（誤）</w:t>
      </w:r>
      <w:r>
        <w:t xml:space="preserve">　同節では内容を変える実質的な反論をあいづちから区別しています。</w:t>
      </w:r>
    </w:p>
    <w:p>
      <w:pPr>
        <w:spacing w:after="100"/>
      </w:pPr>
      <w:r>
        <w:rPr>
          <w:b/>
          <w:bCs/>
          <w:color w:val="2E7D32"/>
        </w:rPr>
        <w:t xml:space="preserve">4（正）</w:t>
      </w:r>
      <w:r>
        <w:t xml:space="preserve">　同節の定義に対応します。同研究の対象外の言語との頻度比較まで証明したものではありません。</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会話にはFが長い意見を述べた事実がありません。記録にない行動を評価の根拠にしません。</w:t>
      </w:r>
    </w:p>
    <w:p>
      <w:pPr>
        <w:spacing w:after="100"/>
      </w:pPr>
      <w:r>
        <w:rPr>
          <w:b/>
          <w:bCs/>
          <w:color w:val="B00020"/>
        </w:rPr>
        <w:t xml:space="preserve">2（誤）</w:t>
      </w:r>
      <w:r>
        <w:t xml:space="preserve">　Fは続きへの関心を述べています。拒絶の意図を確定する根拠にはなりません。</w:t>
      </w:r>
    </w:p>
    <w:p>
      <w:pPr>
        <w:spacing w:after="100"/>
      </w:pPr>
      <w:r>
        <w:rPr>
          <w:b/>
          <w:bCs/>
          <w:color w:val="2E7D32"/>
        </w:rPr>
        <w:t xml:space="preserve">3（正）</w:t>
      </w:r>
      <w:r>
        <w:t xml:space="preserve">　明示された両者の説明に即した検討です。あいづちにはさらに聞きたいと示す働きもあるため、語だけで意図を固定しません。</w:t>
      </w:r>
    </w:p>
    <w:p>
      <w:pPr>
        <w:spacing w:after="100"/>
      </w:pPr>
      <w:r>
        <w:rPr>
          <w:b/>
          <w:bCs/>
          <w:color w:val="B00020"/>
        </w:rPr>
        <w:t xml:space="preserve">4（誤）</w:t>
      </w:r>
      <w:r>
        <w:t xml:space="preserve">　応答の受け止めはこの事例で明示されています。他のすべての場面まで同じと結論できません。</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同記事の物語を話す前の活動案に対応します。実施には利用環境と授業目標に合う選択が必要です。</w:t>
      </w:r>
    </w:p>
    <w:p>
      <w:pPr>
        <w:spacing w:after="100"/>
      </w:pPr>
      <w:r>
        <w:rPr>
          <w:b/>
          <w:bCs/>
          <w:color w:val="B00020"/>
        </w:rPr>
        <w:t xml:space="preserve">2（誤）</w:t>
      </w:r>
      <w:r>
        <w:t xml:space="preserve">　同記事はチャットでの質問や予想の投稿を紹介しています。</w:t>
      </w:r>
    </w:p>
    <w:p>
      <w:pPr>
        <w:spacing w:after="100"/>
      </w:pPr>
      <w:r>
        <w:rPr>
          <w:b/>
          <w:bCs/>
          <w:color w:val="B00020"/>
        </w:rPr>
        <w:t xml:space="preserve">3（誤）</w:t>
      </w:r>
      <w:r>
        <w:t xml:space="preserve">　同記事は小部屋でペアが予想した物語を話す活動案も示しています。</w:t>
      </w:r>
    </w:p>
    <w:p>
      <w:pPr>
        <w:spacing w:after="100"/>
      </w:pPr>
      <w:r>
        <w:rPr>
          <w:b/>
          <w:bCs/>
          <w:color w:val="B00020"/>
        </w:rPr>
        <w:t xml:space="preserve">4（誤）</w:t>
      </w:r>
      <w:r>
        <w:t xml:space="preserve">　同記事はカメラを使えない場合にも身体表現を試す活動の参加を排除していません。画面上で共有できる範囲とは区別します。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導入の条件付きの説明に合います。個々のタスクの結果を必ず一方向に予測する普遍法則ではありません。</w:t>
      </w:r>
    </w:p>
    <w:p>
      <w:pPr>
        <w:spacing w:after="100"/>
      </w:pPr>
      <w:r>
        <w:rPr>
          <w:b/>
          <w:bCs/>
          <w:color w:val="B00020"/>
        </w:rPr>
        <w:t xml:space="preserve">2（誤）</w:t>
      </w:r>
      <w:r>
        <w:t xml:space="preserve">　同論文は側面間の緊張関係と条件の違いを議論しています。一律の同時上昇を述べたものではありません。</w:t>
      </w:r>
    </w:p>
    <w:p>
      <w:pPr>
        <w:spacing w:after="100"/>
      </w:pPr>
      <w:r>
        <w:rPr>
          <w:b/>
          <w:bCs/>
          <w:color w:val="B00020"/>
        </w:rPr>
        <w:t xml:space="preserve">3（誤）</w:t>
      </w:r>
      <w:r>
        <w:t xml:space="preserve">　注意配分の競合を考える説明と合いません。正確さへの注意だけで流暢さの最大化を保証しません。</w:t>
      </w:r>
    </w:p>
    <w:p>
      <w:pPr>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同論文4.2節にある、本稿で採用する定義に対応します。分析は文末スタイルのシフトに限定されています。</w:t>
      </w:r>
    </w:p>
    <w:p>
      <w:pPr>
        <w:spacing w:after="100"/>
      </w:pPr>
      <w:r>
        <w:rPr>
          <w:b/>
          <w:bCs/>
          <w:color w:val="B00020"/>
        </w:rPr>
        <w:t xml:space="preserve">2（誤）</w:t>
      </w:r>
      <w:r>
        <w:t xml:space="preserve">　設問は一時的な移動を問います。同じまま動かないという説明とは異なります。</w:t>
      </w:r>
    </w:p>
    <w:p>
      <w:pPr>
        <w:spacing w:after="100"/>
      </w:pPr>
      <w:r>
        <w:rPr>
          <w:b/>
          <w:bCs/>
          <w:color w:val="B00020"/>
        </w:rPr>
        <w:t xml:space="preserve">3（誤）</w:t>
      </w:r>
      <w:r>
        <w:t xml:space="preserve">　同論文がここで定義しているのはレベル間の移動であり、単なる語数ではありません。</w:t>
      </w:r>
    </w:p>
    <w:p>
      <w:pPr>
        <w:spacing w:after="100"/>
      </w:pPr>
      <w:r>
        <w:rPr>
          <w:b/>
          <w:bCs/>
          <w:color w:val="B00020"/>
        </w:rPr>
        <w:t xml:space="preserve">4（誤）</w:t>
      </w:r>
      <w:r>
        <w:t xml:space="preserve">　発話のレベルの移動を問うもので、文字の書体だけの変更ではありません。</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紹介記事が説明する言語面の橋渡しに合いません。相談者の発言を伝えず決定を代わる説明ではありません。</w:t>
      </w:r>
    </w:p>
    <w:p>
      <w:pPr>
        <w:spacing w:after="100"/>
      </w:pPr>
      <w:r>
        <w:rPr>
          <w:b/>
          <w:bCs/>
          <w:color w:val="B00020"/>
        </w:rPr>
        <w:t xml:space="preserve">2（誤）</w:t>
      </w:r>
      <w:r>
        <w:t xml:space="preserve">　記事は言語面の支援と社会への橋渡しを説明しています。文法試験の採点だけではありません。</w:t>
      </w:r>
    </w:p>
    <w:p>
      <w:pPr>
        <w:spacing w:after="100"/>
      </w:pPr>
      <w:r>
        <w:rPr>
          <w:b/>
          <w:bCs/>
          <w:color w:val="2E7D32"/>
        </w:rPr>
        <w:t xml:space="preserve">3（正）</w:t>
      </w:r>
      <w:r>
        <w:t xml:space="preserve">　記事の役割の説明と、専門家の助言を正確に通訳する人材へのニーズに対応します。</w:t>
      </w:r>
    </w:p>
    <w:p>
      <w:pPr>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設問は帰国後も含む案内のモデルを問います。滞在中の一つの谷だけに限定する説明は合いません。</w:t>
      </w:r>
    </w:p>
    <w:p>
      <w:pPr>
        <w:spacing w:after="100"/>
      </w:pPr>
      <w:r>
        <w:rPr>
          <w:b/>
          <w:bCs/>
          <w:color w:val="B00020"/>
        </w:rPr>
        <w:t xml:space="preserve">2（誤）</w:t>
      </w:r>
      <w:r>
        <w:t xml:space="preserve">　設問は適応の経過を問うもので、語数を示すモデルではありません。</w:t>
      </w:r>
    </w:p>
    <w:p>
      <w:pPr>
        <w:spacing w:after="100"/>
      </w:pPr>
      <w:r>
        <w:rPr>
          <w:b/>
          <w:bCs/>
          <w:color w:val="B00020"/>
        </w:rPr>
        <w:t xml:space="preserve">3（誤）</w:t>
      </w:r>
      <w:r>
        <w:t xml:space="preserve">　案内は語順比較ではなく、留学中と帰国後の適応を説明しています。</w:t>
      </w:r>
    </w:p>
    <w:p>
      <w:pPr>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公式案内は三つのモジュールから構成されるとしています。</w:t>
      </w:r>
    </w:p>
    <w:p>
      <w:pPr>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spacing w:after="100"/>
      </w:pPr>
      <w:r>
        <w:rPr>
          <w:b/>
          <w:bCs/>
          <w:color w:val="B00020"/>
        </w:rPr>
        <w:t xml:space="preserve">3（誤）</w:t>
      </w:r>
      <w:r>
        <w:t xml:space="preserve">　公式案内は任意の順序と説明しています。逆順のみの義務ではありません。</w:t>
      </w:r>
    </w:p>
    <w:p>
      <w:pPr>
        <w:spacing w:after="100"/>
      </w:pPr>
      <w:r>
        <w:rPr>
          <w:b/>
          <w:bCs/>
          <w:color w:val="B00020"/>
        </w:rPr>
        <w:t xml:space="preserve">4（誤）</w:t>
      </w:r>
      <w:r>
        <w:t xml:space="preserve">　任意の組合せと説明されており、全モジュール同時開始だけに限定する記述ではありません。</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同解説は漢字・ひらがな・カタカナを交えた表記を説明しています。</w:t>
      </w:r>
    </w:p>
    <w:p>
      <w:pPr>
        <w:spacing w:after="100"/>
      </w:pPr>
      <w:r>
        <w:rPr>
          <w:b/>
          <w:bCs/>
          <w:color w:val="2E7D32"/>
        </w:rPr>
        <w:t xml:space="preserve">2（正）</w:t>
      </w:r>
      <w:r>
        <w:t xml:space="preserve">　同解説の対比に対応します。個々の文章のすべての文字がこの種類だけという断定ではありません。</w:t>
      </w:r>
    </w:p>
    <w:p>
      <w:pPr>
        <w:spacing w:after="100"/>
      </w:pPr>
      <w:r>
        <w:rPr>
          <w:b/>
          <w:bCs/>
          <w:color w:val="B00020"/>
        </w:rPr>
        <w:t xml:space="preserve">3（誤）</w:t>
      </w:r>
      <w:r>
        <w:t xml:space="preserve">　同解説は中国語の表記のほとんどが漢字によると説明しています。</w:t>
      </w:r>
    </w:p>
    <w:p>
      <w:pPr>
        <w:spacing w:after="100"/>
      </w:pPr>
      <w:r>
        <w:rPr>
          <w:b/>
          <w:bCs/>
          <w:color w:val="B00020"/>
        </w:rPr>
        <w:t xml:space="preserve">4（誤）</w:t>
      </w:r>
      <w:r>
        <w:t xml:space="preserve">　同解説はローマ字で日本語の単語や文章を書くこともあると述べています。</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