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教師が当初誤用と判断した表現の背景を、母語の影響と目標言語内部の規則の適用という観点から検討する際、確認すべきこととして最も適当なものを一つ選べ。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