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出入国在留管理庁の特定技能総合支援サイト（2026年10月20日確認）に示された、特定技能1号の外国人への支援に合うものを一つ選べ。</w:t>
      </w:r>
    </w:p>
    <w:p>
      <w:pPr>
        <w:spacing w:after="60"/>
        <w:ind w:left="360"/>
      </w:pPr>
      <w:r>
        <w:t>1. 支援は仕事の指示だけに限られ、生活のためのオリエンテーションは含まれない。</w:t>
      </w:r>
    </w:p>
    <w:p>
      <w:pPr>
        <w:spacing w:after="60"/>
        <w:ind w:left="360"/>
      </w:pPr>
      <w:r>
        <w:t>2. 日本語学習の案内は支援に含まれず、学習先の情報は提供しない。</w:t>
      </w:r>
    </w:p>
    <w:p>
      <w:pPr>
        <w:spacing w:after="60"/>
        <w:ind w:left="360"/>
      </w:pPr>
      <w:r>
        <w:t>3. 生活のためのオリエンテーションや、日本語を勉強する学校の案内などが含まれる。</w:t>
      </w:r>
    </w:p>
    <w:p>
      <w:pPr>
        <w:spacing w:after="60"/>
        <w:ind w:left="360"/>
      </w:pPr>
      <w:r>
        <w:t>4. 会社が実施できない場合には、登録支援機関に頼むこともできず、支援は不要となる。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在留資格と就労活動に関する説明として、適切なものを一つ選べ（2026年10月20日確認）。</w:t>
      </w:r>
    </w:p>
    <w:p>
      <w:pPr>
        <w:spacing w:after="60"/>
        <w:ind w:left="360"/>
      </w:pPr>
      <w:r>
        <w:t>1. 在留期間の更新は外国人本人には申請できず、会社の職員だけが提出できる。</w:t>
      </w:r>
    </w:p>
    <w:p>
      <w:pPr>
        <w:spacing w:after="60"/>
        <w:ind w:left="360"/>
      </w:pPr>
      <w:r>
        <w:t>2. 「留学」の資格があれば、許可を受けずに週40時間のアルバイトを行える。</w:t>
      </w:r>
    </w:p>
    <w:p>
      <w:pPr>
        <w:spacing w:after="60"/>
        <w:ind w:left="360"/>
      </w:pPr>
      <w:r>
        <w:t>3. 「永住者」や「日本人の配偶者等」など、身分又は地位に基づく在留資格は、在留資格上の就労活動の制限がない。</w:t>
      </w:r>
    </w:p>
    <w:p>
      <w:pPr>
        <w:spacing w:after="60"/>
        <w:ind w:left="360"/>
      </w:pPr>
      <w:r>
        <w:t>4. 「留学」と「家族滞在」の包括的な資格外活動許可には、どちらも学校の長期休業中に1日8時間となる例外がある。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入管庁の育成就労制度Q&amp;Aにおける制度目的と施行日の説明に合うものを一つ選べ（2026年10月20日確認）。</w:t>
      </w:r>
    </w:p>
    <w:p>
      <w:pPr>
        <w:spacing w:after="60"/>
        <w:ind w:left="360"/>
      </w:pPr>
      <w:r>
        <w:t>1. 育成就労は国際貢献だけを目的とし、人材の確保を目的に含まない。</w:t>
      </w:r>
    </w:p>
    <w:p>
      <w:pPr>
        <w:spacing w:after="60"/>
        <w:ind w:left="360"/>
      </w:pPr>
      <w:r>
        <w:t>2. 育成就労の運用開始日は2024年6月21日であり、法の公布と同日に受入れが開始された。</w:t>
      </w:r>
    </w:p>
    <w:p>
      <w:pPr>
        <w:spacing w:after="60"/>
        <w:ind w:left="360"/>
      </w:pPr>
      <w:r>
        <w:t>3. 技能実習と育成就労は目的も同じで、制度上の違いはないと説明されている。</w:t>
      </w:r>
    </w:p>
    <w:p>
      <w:pPr>
        <w:spacing w:after="60"/>
        <w:ind w:left="360"/>
      </w:pPr>
      <w:r>
        <w:t>4. 育成就労は人手不足分野の人材育成・人材確保を目的とし、運用開始は2027年4月1日とされる。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入管庁の公表資料に照らし、特定技能1号と2号の通算在留期間の説明として適切なものを一つ選べ（2026年10月20日確認）。</w:t>
      </w:r>
    </w:p>
    <w:p>
      <w:pPr>
        <w:spacing w:after="60"/>
        <w:ind w:left="360"/>
      </w:pPr>
      <w:r>
        <w:t>1. 1号は通算で原則5年以内であり、2号には同じ通算期間の上限がない。</w:t>
      </w:r>
    </w:p>
    <w:p>
      <w:pPr>
        <w:spacing w:after="60"/>
        <w:ind w:left="360"/>
      </w:pPr>
      <w:r>
        <w:t>2. 1号は原則5年以内という制限がなく、2号だけが通算5年以内である。</w:t>
      </w:r>
    </w:p>
    <w:p>
      <w:pPr>
        <w:spacing w:after="60"/>
        <w:ind w:left="360"/>
      </w:pPr>
      <w:r>
        <w:t>3. 2号に通算期間の上限がないとは、在留期間更新の手続が不要になるという意味である。</w:t>
      </w:r>
    </w:p>
    <w:p>
      <w:pPr>
        <w:spacing w:after="60"/>
        <w:ind w:left="360"/>
      </w:pPr>
      <w:r>
        <w:t>4. 1号の通算期間の原則と例外はなく、いかなる事情でも5年を超える余地はない。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特定技能1号の学習者Bさんから、日本語を学ぶ場所と地域で交流する機会を知りたいと相談された。入管庁の特定技能総合支援サイトの支援項目を踏まえた対応を一つ選べ。</w:t>
      </w:r>
    </w:p>
    <w:p>
      <w:pPr>
        <w:spacing w:after="60"/>
        <w:ind w:left="360"/>
      </w:pPr>
      <w:r>
        <w:t>1. 生活上の相談は支援の対象外だと決め、相談内容を聞かない。</w:t>
      </w:r>
    </w:p>
    <w:p>
      <w:pPr>
        <w:spacing w:after="60"/>
        <w:ind w:left="360"/>
      </w:pPr>
      <w:r>
        <w:t>2. 本人の希望を確かめ、会社の支援担当者等と連携して、学習先や地域交流の情報につなぐ。</w:t>
      </w:r>
    </w:p>
    <w:p>
      <w:pPr>
        <w:spacing w:after="60"/>
        <w:ind w:left="360"/>
      </w:pPr>
      <w:r>
        <w:t>3. 学習先の案内は支援項目にないとして、職場用語の一覧だけを渡す。</w:t>
      </w:r>
    </w:p>
    <w:p>
      <w:pPr>
        <w:spacing w:after="60"/>
        <w:ind w:left="360"/>
      </w:pPr>
      <w:r>
        <w:t>4. 地域の日本人と交流する機会は支援項目に反するので、参加しないよう一律に指示する。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留学課程を置く認定日本語教育機関の出席管理について、2024年4月12日策定の公的ガイドラインに合う対応を一つ選べ。</w:t>
      </w:r>
    </w:p>
    <w:p>
      <w:pPr>
        <w:spacing w:after="60"/>
        <w:ind w:left="360"/>
      </w:pPr>
      <w:r>
        <w:t>1. 出席率を把握する必要はなく、日本語試験の点数だけを記録する。</w:t>
      </w:r>
    </w:p>
    <w:p>
      <w:pPr>
        <w:spacing w:after="60"/>
        <w:ind w:left="360"/>
      </w:pPr>
      <w:r>
        <w:t>2. 病気などのやむを得ない欠席も区別せず、月の出席率が5割未満なら学校が強制的に帰国させる。</w:t>
      </w:r>
    </w:p>
    <w:p>
      <w:pPr>
        <w:spacing w:after="60"/>
        <w:ind w:left="360"/>
      </w:pPr>
      <w:r>
        <w:t>3. 月の出席率が8割未満で指導しても、指導の状況を記録する必要はない。</w:t>
      </w:r>
    </w:p>
    <w:p>
      <w:pPr>
        <w:spacing w:after="60"/>
        <w:ind w:left="360"/>
      </w:pPr>
      <w:r>
        <w:t>4. 月の出席率が8割未満の生徒について、疾病等のやむを得ない事由を除き、改善のための指導を行い、その状況を記録する。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総務省の「地域における多文化共生推進プラン」（2020年改訂）の、行政・生活情報の提供に関する説明として適切なものを一つ選べ。2020年版本文の内容を問い、現在の全制度の実施状況は問わない。</w:t>
      </w:r>
    </w:p>
    <w:p>
      <w:pPr>
        <w:spacing w:after="60"/>
        <w:ind w:left="360"/>
      </w:pPr>
      <w:r>
        <w:t>1. 対応言語は地域の実情にかかわらず英語だけとし、やさしい日本語は多言語での情報提供から除く。</w:t>
      </w:r>
    </w:p>
    <w:p>
      <w:pPr>
        <w:spacing w:after="60"/>
        <w:ind w:left="360"/>
      </w:pPr>
      <w:r>
        <w:t>2. 多言語情報の提供は行政単独で行い、支援に取り組むNPOや外国人の自助組織との連携を対象外とする。</w:t>
      </w:r>
    </w:p>
    <w:p>
      <w:pPr>
        <w:spacing w:after="60"/>
        <w:ind w:left="360"/>
      </w:pPr>
      <w:r>
        <w:t>3. 多言語にやさしい日本語を含め、地域の実情に応じて対応言語を検討し、NPOや外国人の自助組織等との連携も進める。</w:t>
      </w:r>
    </w:p>
    <w:p>
      <w:pPr>
        <w:spacing w:after="60"/>
        <w:ind w:left="360"/>
      </w:pPr>
      <w:r>
        <w:t>4. ICTによる通訳や翻訳を使えば、情報の受け手である外国人住民が理解して円滑に意思疎通できるかに配慮する必要はない。</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「技術・人文知識・国際業務」の上陸許可基準で、外国文化に基盤を有する思考・感受性を必要とする業務の実務経験要件について、適切なものを一つ選べ（2026年10月20日確認）。</w:t>
      </w:r>
    </w:p>
    <w:p>
      <w:pPr>
        <w:spacing w:after="60"/>
        <w:ind w:left="360"/>
      </w:pPr>
      <w:r>
        <w:t>1. 大学を卒業していても、翻訳・通訳・語学指導には例外なく3年以上の関連実務経験が必要である。</w:t>
      </w:r>
    </w:p>
    <w:p>
      <w:pPr>
        <w:spacing w:after="60"/>
        <w:ind w:left="360"/>
      </w:pPr>
      <w:r>
        <w:t>2. 関連業務の3年以上の実務経験という基準には、大学卒業者が翻訳・通訳・語学指導に従事する場合の例外がある。</w:t>
      </w:r>
    </w:p>
    <w:p>
      <w:pPr>
        <w:spacing w:after="60"/>
        <w:ind w:left="360"/>
      </w:pPr>
      <w:r>
        <w:t>3. 翻訳・通訳・語学指導に関する大学卒業者の例外は、あらゆる業務について全ての許可基準を免除する。</w:t>
      </w:r>
    </w:p>
    <w:p>
      <w:pPr>
        <w:spacing w:after="60"/>
        <w:ind w:left="360"/>
      </w:pPr>
      <w:r>
        <w:t>4. この例外の対象は日本の高校卒業者だけで、大学卒業者は含まれない。</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アジア歴史資料センターの「台湾総督府国語学校」の解説に合うものを一つ選べ。ここでは同機関についての記載を問い、戦前の全地域の教育を一律に扱わない。</w:t>
      </w:r>
    </w:p>
    <w:p>
      <w:pPr>
        <w:spacing w:after="60"/>
        <w:ind w:left="360"/>
      </w:pPr>
      <w:r>
        <w:t>1. 日本語教育と教員養成のために設けられ、語学部には台湾人に日本語を教える国語学科と、日本人に台湾語を教える土語学科が置かれた。</w:t>
      </w:r>
    </w:p>
    <w:p>
      <w:pPr>
        <w:spacing w:after="60"/>
        <w:ind w:left="360"/>
      </w:pPr>
      <w:r>
        <w:t>2. 語学部の土語学科は、台湾人に日本語を教える学科として説明されている。</w:t>
      </w:r>
    </w:p>
    <w:p>
      <w:pPr>
        <w:spacing w:after="60"/>
        <w:ind w:left="360"/>
      </w:pPr>
      <w:r>
        <w:t>3. 国語学校には語学部だけが置かれ、師範部と附属学校は置かれなかった。</w:t>
      </w:r>
    </w:p>
    <w:p>
      <w:pPr>
        <w:spacing w:after="60"/>
        <w:ind w:left="360"/>
      </w:pPr>
      <w:r>
        <w:t>4. 同解説では、1919年に台湾師範学校から台湾総督府国語学校へ改称されたと記される。</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真田信治による国立国語研究所「ことば研究館」の2018年の記事「日本語とかかわるクレオールは存在しますか」で、宜蘭クレオールについて述べられていることを一つ選べ。同記事の調査報告を対象とする。</w:t>
      </w:r>
    </w:p>
    <w:p>
      <w:pPr>
        <w:spacing w:after="60"/>
        <w:ind w:left="360"/>
      </w:pPr>
      <w:r>
        <w:t>1. 日本統治時代に日本語を学んだ高年層の「台湾日本語」と区別せず、日本語の変種の一つとだけ位置付けている。</w:t>
      </w:r>
    </w:p>
    <w:p>
      <w:pPr>
        <w:spacing w:after="60"/>
        <w:ind w:left="360"/>
      </w:pPr>
      <w:r>
        <w:t>2. アタヤル語と日本語の接触から生まれ再編された言語とし、その担い手が年配者から子供・孫世代に及ぶと述べている。</w:t>
      </w:r>
    </w:p>
    <w:p>
      <w:pPr>
        <w:spacing w:after="60"/>
        <w:ind w:left="360"/>
      </w:pPr>
      <w:r>
        <w:t>3. 担い手は日本統治時代に日本語を学んだ高年層に限られ、子供・孫世代には及ばないと述べている。</w:t>
      </w:r>
    </w:p>
    <w:p>
      <w:pPr>
        <w:spacing w:after="60"/>
        <w:ind w:left="360"/>
      </w:pPr>
      <w:r>
        <w:t>4. 日本語を語彙供給言語とするクレオールは存在しないとして、宜蘭の調査結果もその否定の根拠にしている。</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外務省掲載の市民的及び政治的権利に関する国際規約（B規約）第27条が定める、言語的少数民族に属する者の権利について、適切なものを一つ選べ。</w:t>
      </w:r>
    </w:p>
    <w:p>
      <w:pPr>
        <w:spacing w:after="60"/>
        <w:ind w:left="360"/>
      </w:pPr>
      <w:r>
        <w:t>1. その集団の他の構成員とともに自己の言語を使う権利は、条文から除外されている。</w:t>
      </w:r>
    </w:p>
    <w:p>
      <w:pPr>
        <w:spacing w:after="60"/>
        <w:ind w:left="360"/>
      </w:pPr>
      <w:r>
        <w:t>2. 言語的少数民族が存在する国において、当該少数民族に属する者が集団の他の構成員とともに自己の言語を使用する権利は、否定されない。</w:t>
      </w:r>
    </w:p>
    <w:p>
      <w:pPr>
        <w:spacing w:after="60"/>
        <w:ind w:left="360"/>
      </w:pPr>
      <w:r>
        <w:t>3. 第27条は、自己の言語の使用を放棄することを、文化を享有するための要件としている。</w:t>
      </w:r>
    </w:p>
    <w:p>
      <w:pPr>
        <w:spacing w:after="60"/>
        <w:ind w:left="360"/>
      </w:pPr>
      <w:r>
        <w:t>4. 第27条は、少数民族の言語を必ずその国唯一の公用語とするよう定めている。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UNESCOの専門家グループ報告「Language Vitality and Endangerment」（2003）Factor 7が区別する、政策・態度の説明に合うものを一つ選べ。</w:t>
      </w:r>
    </w:p>
    <w:p>
      <w:pPr>
        <w:spacing w:after="60"/>
        <w:ind w:left="360"/>
      </w:pPr>
      <w:r>
        <w:t>1. active assimilationでは、支配的言語による教育を通じて少数集団に自らの言語を放棄するよう促すことが説明される。</w:t>
      </w:r>
    </w:p>
    <w:p>
      <w:pPr>
        <w:spacing w:after="60"/>
        <w:ind w:left="360"/>
      </w:pPr>
      <w:r>
        <w:t>2. equal supportとは、すべての少数言語の使用を禁止することである。</w:t>
      </w:r>
    </w:p>
    <w:p>
      <w:pPr>
        <w:spacing w:after="60"/>
        <w:ind w:left="360"/>
      </w:pPr>
      <w:r>
        <w:t>3. passive assimilationとは、すべての言語の維持を明示的な政策で等しく推進することである。</w:t>
      </w:r>
    </w:p>
    <w:p>
      <w:pPr>
        <w:spacing w:after="60"/>
        <w:ind w:left="360"/>
      </w:pPr>
      <w:r>
        <w:t>4. 同報告の分類では、同化にかかわる状態はすべて明文の言語使用禁止を必須条件とする。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EkmanとFriesen（1969）が述べる非言語行動のレギュレーター（調節行動）について、適切な説明を一つ選べ。動作の形だけでなく、会話内での働きを考える。</w:t>
      </w:r>
    </w:p>
    <w:p>
      <w:pPr>
        <w:spacing w:after="60"/>
        <w:ind w:left="360"/>
      </w:pPr>
      <w:r>
        <w:t>1. 他者の行動に影響を及ぼす非言語行動は、他の分類に当てはまる場合も含め、すべてレギュレーターだけに分類される。</w:t>
      </w:r>
    </w:p>
    <w:p>
      <w:pPr>
        <w:spacing w:after="60"/>
        <w:ind w:left="360"/>
      </w:pPr>
      <w:r>
        <w:t>2. レギュレーターは会話の進行には関係せず、発話中の個々の語の強調や内容の描写だけを担う。</w:t>
      </w:r>
    </w:p>
    <w:p>
      <w:pPr>
        <w:spacing w:after="60"/>
        <w:ind w:left="360"/>
      </w:pPr>
      <w:r>
        <w:t>3. レギュレーターは会話を管理するために毎回意識的に計画される行為であり、習慣的に行われることはない。</w:t>
      </w:r>
    </w:p>
    <w:p>
      <w:pPr>
        <w:spacing w:after="60"/>
        <w:ind w:left="360"/>
      </w:pPr>
      <w:r>
        <w:t>4. 話す・聞くというやり取りの流れや進み方を調節する行動であり、うなずきや視線などがその働きを担うことがある。</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少数言語の保持と教育機会について、1992年の国連少数者の権利宣言第4条第3項・第4項に合う説明を一つ選べ。母語学習の機会と社会全体について学ぶ機会を区別して考える。</w:t>
      </w:r>
    </w:p>
    <w:p>
      <w:pPr>
        <w:spacing w:after="60"/>
        <w:ind w:left="360"/>
      </w:pPr>
      <w:r>
        <w:t>1. 母語を学ぶ機会を設けることを、社会全体についての知識を得る機会をなくすための措置として位置付けている。</w:t>
      </w:r>
    </w:p>
    <w:p>
      <w:pPr>
        <w:spacing w:after="60"/>
        <w:ind w:left="360"/>
      </w:pPr>
      <w:r>
        <w:t>2. 少数者の歴史・伝統・言語・文化を知るための教育上の措置は、宣言では取り上げられていない。</w:t>
      </w:r>
    </w:p>
    <w:p>
      <w:pPr>
        <w:spacing w:after="60"/>
        <w:ind w:left="360"/>
      </w:pPr>
      <w:r>
        <w:t>3. 可能な限り母語を学ぶか母語で教育を受ける十分な機会のための適切な措置を求め、社会全体についての知識を得る十分な機会も示している。</w:t>
      </w:r>
    </w:p>
    <w:p>
      <w:pPr>
        <w:spacing w:after="60"/>
        <w:ind w:left="360"/>
      </w:pPr>
      <w:r>
        <w:t>4. すべての教育機関で全科目を各人の母語だけで教えることを、実施可能性に関係なく一律に求めている。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CUNY-NYSIEBの「Developing Students’ Identities as Bilingual Readers and Writers」が示す、トランスランゲージングを取り入れた読み書きの支援に合うものを一つ選べ。</w:t>
      </w:r>
    </w:p>
    <w:p>
      <w:pPr>
        <w:spacing w:after="60"/>
        <w:ind w:left="360"/>
      </w:pPr>
      <w:r>
        <w:t>1. 児童生徒が家庭の言語の知識を使って文章を考えることを、常に禁止する。</w:t>
      </w:r>
    </w:p>
    <w:p>
      <w:pPr>
        <w:spacing w:after="60"/>
        <w:ind w:left="360"/>
      </w:pPr>
      <w:r>
        <w:t>2. 文章が一つの言語で書かれていれば、読者が持つ他の言語の経験を分析や執筆に使う機会をすべて除く。</w:t>
      </w:r>
    </w:p>
    <w:p>
      <w:pPr>
        <w:spacing w:after="60"/>
        <w:ind w:left="360"/>
      </w:pPr>
      <w:r>
        <w:t>3. 文章の言語にかかわらず、学習者が持つ言語レパートリー全体やバイリンガルとしての経験を、文章の検討や執筆に生かす機会を設ける。</w:t>
      </w:r>
    </w:p>
    <w:p>
      <w:pPr>
        <w:spacing w:after="60"/>
        <w:ind w:left="360"/>
      </w:pPr>
      <w:r>
        <w:t>4. この資料の読み書きの支援は、児童生徒を対象とせず、職業翻訳者だけを対象とする。</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Kalamazoo Collegeの留学者家族向け案内が説明するWカーブ・モデルに合うものを一つ選べ。ここでは説明上のモデルを問い、全員が同じ経過をたどるとは仮定しない。</w:t>
      </w:r>
    </w:p>
    <w:p>
      <w:pPr>
        <w:spacing w:after="60"/>
        <w:ind w:left="360"/>
      </w:pPr>
      <w:r>
        <w:t>1. 案内のWカーブは、渡航直後から帰国まで一方向に悪化するだけの経過を描く。</w:t>
      </w:r>
    </w:p>
    <w:p>
      <w:pPr>
        <w:spacing w:after="60"/>
        <w:ind w:left="360"/>
      </w:pPr>
      <w:r>
        <w:t>2. 案内のWカーブは、言語習得の年齢限界だけを横軸にしたモデルである。</w:t>
      </w:r>
    </w:p>
    <w:p>
      <w:pPr>
        <w:spacing w:after="60"/>
        <w:ind w:left="360"/>
      </w:pPr>
      <w:r>
        <w:t>3. 案内のWカーブは、留学中の気持ちの高低に加え、帰国後の再適応に伴う高低も扱う。</w:t>
      </w:r>
    </w:p>
    <w:p>
      <w:pPr>
        <w:spacing w:after="60"/>
        <w:ind w:left="360"/>
      </w:pPr>
      <w:r>
        <w:t>4. 案内のWカーブは、帰国後の生活を対象から除き、渡航先にいる期間だけを扱う。</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British Council向け報告書「Teachers Guide: Foundations in teaching English」（2023）が紹介する、道具的・統合的な学習目的の区別に合うものを一つ選べ。</w:t>
      </w:r>
    </w:p>
    <w:p>
      <w:pPr>
        <w:spacing w:after="60"/>
        <w:ind w:left="360"/>
      </w:pPr>
      <w:r>
        <w:t>1. よりよい仕事や試験合格などの実利を目指す目的は、道具的な側として紹介される。</w:t>
      </w:r>
    </w:p>
    <w:p>
      <w:pPr>
        <w:spacing w:after="60"/>
        <w:ind w:left="360"/>
      </w:pPr>
      <w:r>
        <w:t>2. その言語を話す人々や文化への関心を深めたいという目的は、同資料では道具的な側だけとして紹介される。</w:t>
      </w:r>
    </w:p>
    <w:p>
      <w:pPr>
        <w:spacing w:after="60"/>
        <w:ind w:left="360"/>
      </w:pPr>
      <w:r>
        <w:t>3. 同資料の二つの目的の区別は、学習者の努力量を直接測った点数そのものを表す。</w:t>
      </w:r>
    </w:p>
    <w:p>
      <w:pPr>
        <w:spacing w:after="60"/>
        <w:ind w:left="360"/>
      </w:pPr>
      <w:r>
        <w:t>4. 同資料の紹介から、統合的な目的を持てばあらゆる環境で必ず成績が上回ると結論できる。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Cambridge EnglishのTKT GlossaryのInteractionの項に照らし、授業でやり取りを続けるための方略に合うものを一つ選べ。</w:t>
      </w:r>
    </w:p>
    <w:p>
      <w:pPr>
        <w:spacing w:after="60"/>
        <w:ind w:left="360"/>
      </w:pPr>
      <w:r>
        <w:t>1. 相手の発言が理解できなくても、確認や聞き返しを一切しないことだけを方略とする。</w:t>
      </w:r>
    </w:p>
    <w:p>
      <w:pPr>
        <w:spacing w:after="60"/>
        <w:ind w:left="360"/>
      </w:pPr>
      <w:r>
        <w:t>2. インタラクションは一方向の伝達だけを意味し、聞き手からの応答を含まない。</w:t>
      </w:r>
    </w:p>
    <w:p>
      <w:pPr>
        <w:spacing w:after="60"/>
        <w:ind w:left="360"/>
      </w:pPr>
      <w:r>
        <w:t>3. 相手とのやり取りを続ける工夫から、反復や明確化の要求を必ず除外する。</w:t>
      </w:r>
    </w:p>
    <w:p>
      <w:pPr>
        <w:spacing w:after="60"/>
        <w:ind w:left="360"/>
      </w:pPr>
      <w:r>
        <w:t>4. 相手の発言を繰り返して確かめたり、分からない点の説明を求めたりして、やり取りを続ける。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JALTの「Test Purposes」が説明する離散的項目と統合的項目の区別に合うものを一つ選べ。</w:t>
      </w:r>
    </w:p>
    <w:p>
      <w:pPr>
        <w:spacing w:after="60"/>
        <w:ind w:left="360"/>
      </w:pPr>
      <w:r>
        <w:t>1. 統合的項目とは、単一の知識の一点だけを評価する項目である。</w:t>
      </w:r>
    </w:p>
    <w:p>
      <w:pPr>
        <w:spacing w:after="60"/>
        <w:ind w:left="360"/>
      </w:pPr>
      <w:r>
        <w:t>2. 統合的項目は、同時に複数の技能を使うことを求めない項目である。</w:t>
      </w:r>
    </w:p>
    <w:p>
      <w:pPr>
        <w:spacing w:after="60"/>
        <w:ind w:left="360"/>
      </w:pPr>
      <w:r>
        <w:t>3. 同記事は、ディクテーションを、聞く技能も書く技能も使わない例として挙げる。</w:t>
      </w:r>
    </w:p>
    <w:p>
      <w:pPr>
        <w:spacing w:after="60"/>
        <w:ind w:left="360"/>
      </w:pPr>
      <w:r>
        <w:t>4. 離散的項目は知識の一点を評価しようとし、統合的項目は同時に複数の技能の使用を求めると説明される。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Celce-Murcia・Dörnyei・Thurrell（1995）のTable 5における「回避・縮小方略（avoidance or reduction strategies）」に分類されるものを一つ選べ。同論文の方略分類を問う。</w:t>
      </w:r>
    </w:p>
    <w:p>
      <w:pPr>
        <w:spacing w:after="60"/>
        <w:ind w:left="360"/>
      </w:pPr>
      <w:r>
        <w:t>1. ある話題を避けたり、伝えようとしたメッセージを断念したりする。</w:t>
      </w:r>
    </w:p>
    <w:p>
      <w:pPr>
        <w:spacing w:after="60"/>
        <w:ind w:left="360"/>
      </w:pPr>
      <w:r>
        <w:t>2. 分からない語を、意味を説明する迂言で補って伝える。</w:t>
      </w:r>
    </w:p>
    <w:p>
      <w:pPr>
        <w:spacing w:after="60"/>
        <w:ind w:left="360"/>
      </w:pPr>
      <w:r>
        <w:t>3. 考える時間を得るために、つなぎ語を使ったり発話を繰り返したりする。</w:t>
      </w:r>
    </w:p>
    <w:p>
      <w:pPr>
        <w:spacing w:after="60"/>
        <w:ind w:left="360"/>
      </w:pPr>
      <w:r>
        <w:t>4. 自分の発話の誤りに気付き、自分から言い直して修正する。</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Flanders自身の「Interaction Analysis: A Technique for Quantifying Teacher Influence」に示された観察法の説明として、適切なものを一つ選べ。</w:t>
      </w:r>
    </w:p>
    <w:p>
      <w:pPr>
        <w:spacing w:after="60"/>
        <w:ind w:left="360"/>
      </w:pPr>
      <w:r>
        <w:t>1. 10個の番号は、番号が大きいほど優れた授業であるという評点を表す。</w:t>
      </w:r>
    </w:p>
    <w:p>
      <w:pPr>
        <w:spacing w:after="60"/>
        <w:ind w:left="360"/>
      </w:pPr>
      <w:r>
        <w:t>2. 訓練した観察者が約3秒ごとにカテゴリ番号を記録し、発話等の連続を行列で扱う。</w:t>
      </w:r>
    </w:p>
    <w:p>
      <w:pPr>
        <w:spacing w:after="60"/>
        <w:ind w:left="360"/>
      </w:pPr>
      <w:r>
        <w:t>3. 教師の発話だけを記録し、生徒の発話と沈黙・混乱はカテゴリに含めない。</w:t>
      </w:r>
    </w:p>
    <w:p>
      <w:pPr>
        <w:spacing w:after="60"/>
        <w:ind w:left="360"/>
      </w:pPr>
      <w:r>
        <w:t>4. あらかじめカテゴリを設けず、観察者の自由な感想文だけを集める。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Kalamazoo Collegeの留学案内に示されたWカーブの説明を授業で紹介する。説明の扱いとして適切なものを一つ選べ。</w:t>
      </w:r>
    </w:p>
    <w:p>
      <w:pPr>
        <w:spacing w:after="60"/>
        <w:ind w:left="360"/>
      </w:pPr>
      <w:r>
        <w:t>1. モデルの危機という言葉だけで、特定の学習者に精神疾患があると診断する。</w:t>
      </w:r>
    </w:p>
    <w:p>
      <w:pPr>
        <w:spacing w:after="60"/>
        <w:ind w:left="360"/>
      </w:pPr>
      <w:r>
        <w:t>2. モデルの説明があれば、全員の適応に必要な期間を同じ日数で確定できると教える。</w:t>
      </w:r>
    </w:p>
    <w:p>
      <w:pPr>
        <w:spacing w:after="60"/>
        <w:ind w:left="360"/>
      </w:pPr>
      <w:r>
        <w:t>3. 新しい経験への高揚やその後の落込み・持ち直しを示す説明上のモデルとして紹介し、個人の経過を一律に決めない。</w:t>
      </w:r>
    </w:p>
    <w:p>
      <w:pPr>
        <w:spacing w:after="60"/>
        <w:ind w:left="360"/>
      </w:pPr>
      <w:r>
        <w:t>4. 帰国後の適応はこのモデルに含まれないとして、帰国時の戸惑いの説明には触れない。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欧州評議会が紹介するCassis（2012）の異文化理解研修では、クリティカル・インシデントを扱う活動が説明されている。その活動に合うものを一つ選べ。</w:t>
      </w:r>
    </w:p>
    <w:p>
      <w:pPr>
        <w:spacing w:after="60"/>
        <w:ind w:left="360"/>
      </w:pPr>
      <w:r>
        <w:t>1. 出来事を検討せず、異文化に接した人全員が自己のアイデンティティを失うと判定する。</w:t>
      </w:r>
    </w:p>
    <w:p>
      <w:pPr>
        <w:spacing w:after="60"/>
        <w:ind w:left="360"/>
      </w:pPr>
      <w:r>
        <w:t>2. 誤解の場面について話し合わず、発音の点数だけを測る。</w:t>
      </w:r>
    </w:p>
    <w:p>
      <w:pPr>
        <w:spacing w:after="60"/>
        <w:ind w:left="360"/>
      </w:pPr>
      <w:r>
        <w:t>3. 相手の行動の理由を調べず、最初の印象だけを最終結論にする。</w:t>
      </w:r>
    </w:p>
    <w:p>
      <w:pPr>
        <w:spacing w:after="60"/>
        <w:ind w:left="360"/>
      </w:pPr>
      <w:r>
        <w:t>4. 異文化接触での行き違いや誤解の場面を話し合い、建設的に対応するための能力を検討する。</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ヤスコ・ナガノ・マドセン、杉藤美代子（1999）「東京と大阪の談話におけるあいづちの種類とその運用」の2.2節に示された定義に合うものを一つ選べ。</w:t>
      </w:r>
    </w:p>
    <w:p>
      <w:pPr>
        <w:spacing w:after="60"/>
        <w:ind w:left="360"/>
      </w:pPr>
      <w:r>
        <w:t>1. あいづちは必ず内容への賛成だけを表し、聞いていることを伝える働きは含まない。</w:t>
      </w:r>
    </w:p>
    <w:p>
      <w:pPr>
        <w:spacing w:after="60"/>
        <w:ind w:left="360"/>
      </w:pPr>
      <w:r>
        <w:t>2. 同節の広義のあいづちには、うなずきなどの非言語的行動は一切含まれない。</w:t>
      </w:r>
    </w:p>
    <w:p>
      <w:pPr>
        <w:spacing w:after="60"/>
        <w:ind w:left="360"/>
      </w:pPr>
      <w:r>
        <w:t>3. 同節では、話の内容を変える実質的な反論も、すべてあいづちとして分析する。</w:t>
      </w:r>
    </w:p>
    <w:p>
      <w:pPr>
        <w:spacing w:after="60"/>
        <w:ind w:left="360"/>
      </w:pPr>
      <w:r>
        <w:t>4. 聞いていること、分かったこと、さらに聞きたいことなどを示し、対話を進める働きを持つ応答が扱われる。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次は聞き手の応答を考えるための架空の会話である。G「昨日、レストランに行ったんだけどね。」F「はい。」G「パスタがおいしくてさ。」F「そうですか。それで？」G「店員さんも親切だったよ。」F「はい。次は？」会話の後、Gは「早く次を話すよう急かされたと感じた」と述べ、Fは「続きを聞きたいつもりだった」と述べた。この情報に基づく授業での扱いとして適切なものを一つ選べ。</w:t>
      </w:r>
    </w:p>
    <w:p>
      <w:pPr>
        <w:spacing w:after="60"/>
        <w:ind w:left="360"/>
      </w:pPr>
      <w:r>
        <w:t>1. Fが自分の意見だけを長時間述べたと、会話にない発言を補って評価する。</w:t>
      </w:r>
    </w:p>
    <w:p>
      <w:pPr>
        <w:spacing w:after="60"/>
        <w:ind w:left="360"/>
      </w:pPr>
      <w:r>
        <w:t>2. FはGの話を一切聞きたくなかったと、F自身の説明を検討せずに意図を確定する。</w:t>
      </w:r>
    </w:p>
    <w:p>
      <w:pPr>
        <w:spacing w:after="60"/>
        <w:ind w:left="360"/>
      </w:pPr>
      <w:r>
        <w:t>3. 続きへの関心を示す意図と相手の受け止めがずれた点を確認し、言い方や間の取り方も含めて応答を検討する。</w:t>
      </w:r>
    </w:p>
    <w:p>
      <w:pPr>
        <w:spacing w:after="60"/>
        <w:ind w:left="360"/>
      </w:pPr>
      <w:r>
        <w:t>4. 「それで？」という語だけで、どの場面でも必ず無礼になると一般化する。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British Council掲載のDavid Heathfield「Online Storytelling: Engaging, Personal, Creative」が紹介するオンライン授業の工夫に合うものを一つ選べ。利用できる機能は実際の環境で確認する。</w:t>
      </w:r>
    </w:p>
    <w:p>
      <w:pPr>
        <w:spacing w:after="60"/>
        <w:ind w:left="360"/>
      </w:pPr>
      <w:r>
        <w:t>1. チャットで物語への質問や予想を書き、音声で応答するなど、複数の手段を活動に組み合わせる。</w:t>
      </w:r>
    </w:p>
    <w:p>
      <w:pPr>
        <w:spacing w:after="60"/>
        <w:ind w:left="360"/>
      </w:pPr>
      <w:r>
        <w:t>2. 同記事は、チャットによる質問を一切禁じ、教師の音声だけに活動を限定する。</w:t>
      </w:r>
    </w:p>
    <w:p>
      <w:pPr>
        <w:spacing w:after="60"/>
        <w:ind w:left="360"/>
      </w:pPr>
      <w:r>
        <w:t>3. 同記事は、物語を予想するペア活動を小部屋で行う案を全く紹介していない。</w:t>
      </w:r>
    </w:p>
    <w:p>
      <w:pPr>
        <w:spacing w:after="60"/>
        <w:ind w:left="360"/>
      </w:pPr>
      <w:r>
        <w:t>4. 同記事では、参加者のカメラが使えない場合は身体表現を試す活動にも一切参加できないとされる。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Skehan（2009）「Modelling Second Language Performance」の導入で述べるトレードオフ仮説の説明に合うものを一つ選べ。</w:t>
      </w:r>
    </w:p>
    <w:p>
      <w:pPr>
        <w:spacing w:after="60"/>
        <w:ind w:left="360"/>
      </w:pPr>
      <w:r>
        <w:t>1. 注意・作動記憶の容量に限りがあるという前提で、他の条件が同じなら、ある側面への注意が他の側面の遂行を低下させる可能性を考える。</w:t>
      </w:r>
    </w:p>
    <w:p>
      <w:pPr>
        <w:spacing w:after="60"/>
        <w:ind w:left="360"/>
      </w:pPr>
      <w:r>
        <w:t>2. 複雑さ・正確さ・流暢さは、どの条件でも必ず同時に同じ割合だけ上がるとする。</w:t>
      </w:r>
    </w:p>
    <w:p>
      <w:pPr>
        <w:spacing w:after="60"/>
        <w:ind w:left="360"/>
      </w:pPr>
      <w:r>
        <w:t>3. 正確さに注意を向けるだけで、他の条件にかかわらず流暢さが必ず最大になるとする。</w:t>
      </w:r>
    </w:p>
    <w:p>
      <w:pPr>
        <w:spacing w:after="60"/>
        <w:ind w:left="360"/>
      </w:pPr>
      <w:r>
        <w:t>4. 同論文は、正確さと複雑さが共に高まる例を一つも扱わず、両立を理論上不可能とする。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髙橋美奈子・谷部弘子・本田明子（2017）の論文では、同一話者の前後の発話間で基本的なスピーチレベルから一時的に移ることを、何と呼んでいるか。同論文4.2節の用語を一つ選べ。</w:t>
      </w:r>
    </w:p>
    <w:p>
      <w:pPr>
        <w:spacing w:after="60"/>
        <w:ind w:left="360"/>
      </w:pPr>
      <w:r>
        <w:t xml:space="preserve">1. スピーチレベルシフト</w:t>
      </w:r>
    </w:p>
    <w:p>
      <w:pPr>
        <w:spacing w:after="60"/>
        <w:ind w:left="360"/>
      </w:pPr>
      <w:r>
        <w:t>2. スピーチレベルが同じまま全く動かないこと</w:t>
      </w:r>
    </w:p>
    <w:p>
      <w:pPr>
        <w:spacing w:after="60"/>
        <w:ind w:left="360"/>
      </w:pPr>
      <w:r>
        <w:t>3. 語の個数だけを数えること</w:t>
      </w:r>
    </w:p>
    <w:p>
      <w:pPr>
        <w:spacing w:after="60"/>
        <w:ind w:left="360"/>
      </w:pPr>
      <w:r>
        <w:t>4. 文字の書体だけを変えること</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ケース3のクラスで今後の敬語教材を作る際、『敬語の指針』（2007）の「いわゆるマニュアル敬語」「敬語についての教育」を参考にした方針として適切なものを一つ選べ。</w:t>
      </w:r>
    </w:p>
    <w:p>
      <w:pPr>
        <w:spacing w:after="60"/>
        <w:ind w:left="360"/>
      </w:pPr>
      <w:r>
        <w:t>1. 敬語の種類や形の知識だけを扱い、相手や場面を考えて表現を選ぶ活動は教材から除く。</w:t>
      </w:r>
    </w:p>
    <w:p>
      <w:pPr>
        <w:spacing w:after="60"/>
        <w:ind w:left="360"/>
      </w:pPr>
      <w:r>
        <w:t>2. 敬語の仕組みの知識と場面に即した複数の表現例を扱い、相手や状況に応じて表現を選ぶ考え方と実践の機会を設ける。</w:t>
      </w:r>
    </w:p>
    <w:p>
      <w:pPr>
        <w:spacing w:after="60"/>
        <w:ind w:left="360"/>
      </w:pPr>
      <w:r>
        <w:t>3. 一つの場面には唯一の表現だけを示し、相手や状況が変わってもその表現以外は使わせない。</w:t>
      </w:r>
    </w:p>
    <w:p>
      <w:pPr>
        <w:spacing w:after="60"/>
        <w:ind w:left="360"/>
      </w:pPr>
      <w:r>
        <w:t>4. 日常生活で周囲の敬語を聞く経験だけに任せ、意図的な学習や指導の機会は設けない。</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国際交流基金のEPA日本語予備教育事業の公式紹介に合うものを一つ選べ（2026年10月20日確認）。</w:t>
      </w:r>
    </w:p>
    <w:p>
      <w:pPr>
        <w:spacing w:after="60"/>
        <w:ind w:left="360"/>
      </w:pPr>
      <w:r>
        <w:t>1. 来日を希望するインドネシア・フィリピン人の看護師・介護福祉士候補者を対象に、約6か月の初級〜中級程度の日本語教育を実施すると紹介されている。</w:t>
      </w:r>
    </w:p>
    <w:p>
      <w:pPr>
        <w:spacing w:after="60"/>
        <w:ind w:left="360"/>
      </w:pPr>
      <w:r>
        <w:t>2. 同事業の対象者には日本語の教育機会を設けないと紹介されている。</w:t>
      </w:r>
    </w:p>
    <w:p>
      <w:pPr>
        <w:spacing w:after="60"/>
        <w:ind w:left="360"/>
      </w:pPr>
      <w:r>
        <w:t>3. 同事業は、日本語学習が不要な上級者だけを対象とすると紹介されている。</w:t>
      </w:r>
    </w:p>
    <w:p>
      <w:pPr>
        <w:spacing w:after="60"/>
        <w:ind w:left="360"/>
      </w:pPr>
      <w:r>
        <w:t>4. 同事業は、看護・介護の候補者には関係のない一般旅行者だけを対象とすると紹介されている。</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東京外国語大学の2014年の取組紹介で説明される「コミュニティ通訳」の役割に合うものを一つ選べ。</w:t>
      </w:r>
    </w:p>
    <w:p>
      <w:pPr>
        <w:spacing w:after="60"/>
        <w:ind w:left="360"/>
      </w:pPr>
      <w:r>
        <w:t>1. 相談に来た人の発言を通訳せず、本人の希望と無関係に通訳者だけで相談内容を決める。</w:t>
      </w:r>
    </w:p>
    <w:p>
      <w:pPr>
        <w:spacing w:after="60"/>
        <w:ind w:left="360"/>
      </w:pPr>
      <w:r>
        <w:t>2. 言語面の橋渡しをせず、日本語の文法試験の採点だけを担う。</w:t>
      </w:r>
    </w:p>
    <w:p>
      <w:pPr>
        <w:spacing w:after="60"/>
        <w:ind w:left="360"/>
      </w:pPr>
      <w:r>
        <w:t>3. 言語的マイノリティーを言語面で支え、ホスト社会との橋渡しをする。法律相談では専門家の助言を正確に通訳することも課題となる。</w:t>
      </w:r>
    </w:p>
    <w:p>
      <w:pPr>
        <w:spacing w:after="60"/>
        <w:ind w:left="360"/>
      </w:pPr>
      <w:r>
        <w:t>4. 相談の通訳と称して、専門家の助言を伝えることを役割から全面的に除外する。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Trudgill（1972）がNorwichの調査結果の解釈で論じた「潜在的威信（covert prestige）」について、適切な説明を一つ選べ。同論文の対象と解釈の範囲で考える。</w:t>
      </w:r>
    </w:p>
    <w:p>
      <w:pPr>
        <w:spacing w:after="60"/>
        <w:ind w:left="360"/>
      </w:pPr>
      <w:r>
        <w:t>1. 非標準的な話し方が、集団の連帯などと結び付き、表立っては表明されない肯定的な価値を持ち得る。</w:t>
      </w:r>
    </w:p>
    <w:p>
      <w:pPr>
        <w:spacing w:after="60"/>
        <w:ind w:left="360"/>
      </w:pPr>
      <w:r>
        <w:t>2. 肯定的な社会的評価は標準的な話し方だけに伴い、非標準的な話し方には伴わないとする。</w:t>
      </w:r>
    </w:p>
    <w:p>
      <w:pPr>
        <w:spacing w:after="60"/>
        <w:ind w:left="360"/>
      </w:pPr>
      <w:r>
        <w:t>3. 非標準的な話し方への好意を全員が公に明言することが、この論文で潜在的威信を認めるための必須条件である。</w:t>
      </w:r>
    </w:p>
    <w:p>
      <w:pPr>
        <w:spacing w:after="60"/>
        <w:ind w:left="360"/>
      </w:pPr>
      <w:r>
        <w:t>4. 自己評価に現れる隠れた価値は存在しないとして、標準形の少ない使用を積極的に申告する傾向を解釈から除いている。</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留学中の適応に加え、帰国後の戸惑いと再適応も含めて説明するモデルとして、Kalamazoo Collegeの留学案内に挙げられるものを一つ選べ。</w:t>
      </w:r>
    </w:p>
    <w:p>
      <w:pPr>
        <w:spacing w:after="60"/>
        <w:ind w:left="360"/>
      </w:pPr>
      <w:r>
        <w:t>1. 帰国後の過程を描かず、滞在中の落込みと回復だけを一つの谷で示すモデル</w:t>
      </w:r>
    </w:p>
    <w:p>
      <w:pPr>
        <w:spacing w:after="60"/>
        <w:ind w:left="360"/>
      </w:pPr>
      <w:r>
        <w:t>2. 適応の高低を描かず、学習した語の個数だけを示すモデル</w:t>
      </w:r>
    </w:p>
    <w:p>
      <w:pPr>
        <w:spacing w:after="60"/>
        <w:ind w:left="360"/>
      </w:pPr>
      <w:r>
        <w:t>3. 渡航先と母国の言語の語順だけを比較するモデル</w:t>
      </w:r>
    </w:p>
    <w:p>
      <w:pPr>
        <w:spacing w:after="60"/>
        <w:ind w:left="360"/>
      </w:pPr>
      <w:r>
        <w:t>4. Wカーブ・モデル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モジュール制の具体例として、Cambridge Englishが公表するDELTAの構成と受講順序の説明に合うものを一つ選べ。すべてのモジュール型コースが同じ条件とは限らない。</w:t>
      </w:r>
    </w:p>
    <w:p>
      <w:pPr>
        <w:spacing w:after="60"/>
        <w:ind w:left="360"/>
      </w:pPr>
      <w:r>
        <w:t>1. DELTAは一つの分割できない科目だけで構成される。</w:t>
      </w:r>
    </w:p>
    <w:p>
      <w:pPr>
        <w:spacing w:after="60"/>
        <w:ind w:left="360"/>
      </w:pPr>
      <w:r>
        <w:t>2. DELTAは三つのモジュールからなり、任意の順序・組合せで受けられると案内されている。</w:t>
      </w:r>
    </w:p>
    <w:p>
      <w:pPr>
        <w:spacing w:after="60"/>
        <w:ind w:left="360"/>
      </w:pPr>
      <w:r>
        <w:t>3. DELTAのモジュールは、必ず番号と逆の順番に受けるよう一律に義務付けられている。</w:t>
      </w:r>
    </w:p>
    <w:p>
      <w:pPr>
        <w:spacing w:after="60"/>
        <w:ind w:left="360"/>
      </w:pPr>
      <w:r>
        <w:t>4. DELTAではどのモジュールを受ける場合も、三つ全部を同時に始めることだけが認められる。</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デジタル機器を学習者も操作する活動について、British Councilの「Interactive Whiteboard IWB」の解説に合うものを一つ選べ。同記事で紹介する機器と授業例を対象とする。</w:t>
      </w:r>
    </w:p>
    <w:p>
      <w:pPr>
        <w:spacing w:after="60"/>
        <w:ind w:left="360"/>
      </w:pPr>
      <w:r>
        <w:t>1. 教師だけでなく学習者も画面を通じてコンピューターを操作でき、学習者自身がボードを使う発表などの活動も紹介される。</w:t>
      </w:r>
    </w:p>
    <w:p>
      <w:pPr>
        <w:spacing w:after="60"/>
        <w:ind w:left="360"/>
      </w:pPr>
      <w:r>
        <w:t>2. 学習者がボードを操作することはできず、教師が画面を見せる使い方しか認められていない。</w:t>
      </w:r>
    </w:p>
    <w:p>
      <w:pPr>
        <w:spacing w:after="60"/>
        <w:ind w:left="360"/>
      </w:pPr>
      <w:r>
        <w:t>3. 音声を聞くには学習者が操作できないため、記事の発音活動例では記号をクリックする活動が除かれている。</w:t>
      </w:r>
    </w:p>
    <w:p>
      <w:pPr>
        <w:spacing w:after="60"/>
        <w:ind w:left="360"/>
      </w:pPr>
      <w:r>
        <w:t>4. 学習者中心の活動とは教師だけが全操作を行うことだと説明され、学習者が授業の一部を進行する活動は除外される。</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国立国語研究所「ことば研究館」掲載の笹原宏之による文字の解説が述べる、日本語と中国語の一般的な表記の対比に合うものを一つ選べ。</w:t>
      </w:r>
    </w:p>
    <w:p>
      <w:pPr>
        <w:spacing w:after="60"/>
        <w:ind w:left="360"/>
      </w:pPr>
      <w:r>
        <w:t>1. 日本語の一般的な表記では漢字を使わず、ひらがな一種類だけを用いる。</w:t>
      </w:r>
    </w:p>
    <w:p>
      <w:pPr>
        <w:spacing w:after="60"/>
        <w:ind w:left="360"/>
      </w:pPr>
      <w:r>
        <w:t>2. 日本語は一般に漢字とひらがな・カタカナを交えて書かれ、中国語は漢字による表記がほとんどと説明される。</w:t>
      </w:r>
    </w:p>
    <w:p>
      <w:pPr>
        <w:spacing w:after="60"/>
        <w:ind w:left="360"/>
      </w:pPr>
      <w:r>
        <w:t>3. 中国語では漢字を使わず、一般の文章をすべてひらがなだけで書くと説明される。</w:t>
      </w:r>
    </w:p>
    <w:p>
      <w:pPr>
        <w:spacing w:after="60"/>
        <w:ind w:left="360"/>
      </w:pPr>
      <w:r>
        <w:t>4. 同解説は、日本語ではローマ字を用いることが一切ないと説明している。</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公式サイトは生活のためのオリエンテーションを支援項目に挙げています。業務上の指示だけではありません。</w:t>
      </w:r>
    </w:p>
    <w:p>
      <w:pPr>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spacing w:after="100"/>
      </w:pPr>
      <w:r>
        <w:rPr>
          <w:b/>
          <w:bCs/>
          <w:color w:val="2E7D32"/>
        </w:rPr>
        <w:t xml:space="preserve">3（正）</w:t>
      </w:r>
      <w:r>
        <w:t xml:space="preserve">　同サイトの支援4・6の説明に対応します。生活上の情報と学習の機会への案内を区別して理解します。</w:t>
      </w:r>
    </w:p>
    <w:p>
      <w:pPr>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Q&amp;Aは人手不足分野における人材育成と人材確保を目的として挙げています。</w:t>
      </w:r>
    </w:p>
    <w:p>
      <w:pPr>
        <w:spacing w:after="100"/>
      </w:pPr>
      <w:r>
        <w:rPr>
          <w:b/>
          <w:bCs/>
          <w:color w:val="B00020"/>
        </w:rPr>
        <w:t xml:space="preserve">2（誤）</w:t>
      </w:r>
      <w:r>
        <w:t xml:space="preserve">　2024年6月21日は改正法の公布日です。制度の運用開始日とは区別します。</w:t>
      </w:r>
    </w:p>
    <w:p>
      <w:pPr>
        <w:spacing w:after="100"/>
      </w:pPr>
      <w:r>
        <w:rPr>
          <w:b/>
          <w:bCs/>
          <w:color w:val="B00020"/>
        </w:rPr>
        <w:t xml:space="preserve">3（誤）</w:t>
      </w:r>
      <w:r>
        <w:t xml:space="preserve">　Q&amp;Aは技能実習の国際貢献と育成就労の人材育成・確保という目的の違いを説明しています。</w:t>
      </w:r>
    </w:p>
    <w:p>
      <w:pPr>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入管庁は1号を原則5年以内、2号を通算期間の上限なしと説明しています。「原則」を外して例外まで否定しません。</w:t>
      </w:r>
    </w:p>
    <w:p>
      <w:pPr>
        <w:spacing w:after="100"/>
      </w:pPr>
      <w:r>
        <w:rPr>
          <w:b/>
          <w:bCs/>
          <w:color w:val="B00020"/>
        </w:rPr>
        <w:t xml:space="preserve">2（誤）</w:t>
      </w:r>
      <w:r>
        <w:t xml:space="preserve">　1号と2号の説明が逆です。1号に原則の上限がないという説明ではありません。</w:t>
      </w:r>
    </w:p>
    <w:p>
      <w:pPr>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spacing w:after="100"/>
      </w:pPr>
      <w:r>
        <w:rPr>
          <w:b/>
          <w:bCs/>
          <w:color w:val="B00020"/>
        </w:rPr>
        <w:t xml:space="preserve">4（誤）</w:t>
      </w:r>
      <w:r>
        <w:t xml:space="preserve">　公表資料は1号について「原則」としています。特例を含めすべてを一律に否定する説明は合いません。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同サイトは生活上の相談なども支援に挙げています。本人の生活上の希望を最初から対象外とはできません。</w:t>
      </w:r>
    </w:p>
    <w:p>
      <w:pPr>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spacing w:after="100"/>
      </w:pPr>
      <w:r>
        <w:rPr>
          <w:b/>
          <w:bCs/>
          <w:color w:val="B00020"/>
        </w:rPr>
        <w:t xml:space="preserve">3（誤）</w:t>
      </w:r>
      <w:r>
        <w:t xml:space="preserve">　同サイトの支援6に学習先の案内が示されています。今回の相談を職場用語だけに限定する対応は合いません。</w:t>
      </w:r>
    </w:p>
    <w:p>
      <w:pPr>
        <w:spacing w:after="100"/>
      </w:pPr>
      <w:r>
        <w:rPr>
          <w:b/>
          <w:bCs/>
          <w:color w:val="B00020"/>
        </w:rPr>
        <w:t xml:space="preserve">4（誤）</w:t>
      </w:r>
      <w:r>
        <w:t xml:space="preserve">　支援8には地域の祭りの案内や日本人と話す機会の提供が示されています。一律に禁じる対応は合いません。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ガイドライン1（1）は授業への出席率を適確に把握することを求めています。</w:t>
      </w:r>
    </w:p>
    <w:p>
      <w:pPr>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spacing w:after="100"/>
      </w:pPr>
      <w:r>
        <w:rPr>
          <w:b/>
          <w:bCs/>
          <w:color w:val="B00020"/>
        </w:rPr>
        <w:t xml:space="preserve">3（誤）</w:t>
      </w:r>
      <w:r>
        <w:t xml:space="preserve">　1（2）は指導の状況の記録も求めています。指導しただけで記録を省く説明は合いません。</w:t>
      </w:r>
    </w:p>
    <w:p>
      <w:pPr>
        <w:spacing w:after="100"/>
      </w:pPr>
      <w:r>
        <w:rPr>
          <w:b/>
          <w:bCs/>
          <w:color w:val="2E7D32"/>
        </w:rPr>
        <w:t xml:space="preserve">4（正）</w:t>
      </w:r>
      <w:r>
        <w:t xml:space="preserve">　1（2）の条件と対応に合います。低出席を直ちに「不法な欠席」と断定せず、定められた例外と個別事情を扱います。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本文7頁は、多言語にやさしい日本語を含め、地域の実情に応じて対応する言語を検討するとしています。英語だけに固定する説明は合いません。</w:t>
      </w:r>
    </w:p>
    <w:p>
      <w:pPr>
        <w:spacing w:after="100"/>
      </w:pPr>
      <w:r>
        <w:rPr>
          <w:b/>
          <w:bCs/>
          <w:color w:val="B00020"/>
        </w:rPr>
        <w:t xml:space="preserve">2（誤）</w:t>
      </w:r>
      <w:r>
        <w:t xml:space="preserve">　本文7頁の「NPO等との連携による多言語情報の提供」は、支援に取り組むNPOや外国人の自助組織等との連携を挙げています。行政単独には限定しません。</w:t>
      </w:r>
    </w:p>
    <w:p>
      <w:pPr>
        <w:spacing w:after="100"/>
      </w:pPr>
      <w:r>
        <w:rPr>
          <w:b/>
          <w:bCs/>
          <w:color w:val="2E7D32"/>
        </w:rPr>
        <w:t xml:space="preserve">3（正）</w:t>
      </w:r>
      <w:r>
        <w:t xml:space="preserve">　本文7頁の情報提供とNPO等との連携の記述に対応します。このプランの方針を、全自治体で同一のサービスが実現済みであるとの事実認定には読み替えていません。</w:t>
      </w:r>
    </w:p>
    <w:p>
      <w:pPr>
        <w:spacing w:after="100"/>
      </w:pPr>
      <w:r>
        <w:rPr>
          <w:b/>
          <w:bCs/>
          <w:color w:val="B00020"/>
        </w:rPr>
        <w:t xml:space="preserve">4（誤）</w:t>
      </w:r>
      <w:r>
        <w:t xml:space="preserve">　本文7頁は、ICTを活用する際も、外国人住民の理解を得て円滑に意思疎通できるよう十分に配意するとしています。技術の使用で配慮が不要になるわけではありません。</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基準には大学卒業者が翻訳・通訳・語学指導に従事する場合のただし書があります。</w:t>
      </w:r>
    </w:p>
    <w:p>
      <w:pPr>
        <w:spacing w:after="100"/>
      </w:pPr>
      <w:r>
        <w:rPr>
          <w:b/>
          <w:bCs/>
          <w:color w:val="2E7D32"/>
        </w:rPr>
        <w:t xml:space="preserve">2（正）</w:t>
      </w:r>
      <w:r>
        <w:t xml:space="preserve">　入管庁の公表する基準のただし書に合います。例外はここで示した実務経験基準に関するものです。</w:t>
      </w:r>
    </w:p>
    <w:p>
      <w:pPr>
        <w:spacing w:after="100"/>
      </w:pPr>
      <w:r>
        <w:rPr>
          <w:b/>
          <w:bCs/>
          <w:color w:val="B00020"/>
        </w:rPr>
        <w:t xml:space="preserve">3（誤）</w:t>
      </w:r>
      <w:r>
        <w:t xml:space="preserve">　一つの実務経験基準の例外を、全業務・全基準の免除と広げることはできません。</w:t>
      </w:r>
    </w:p>
    <w:p>
      <w:pPr>
        <w:spacing w:after="100"/>
      </w:pPr>
      <w:r>
        <w:rPr>
          <w:b/>
          <w:bCs/>
          <w:color w:val="B00020"/>
        </w:rPr>
        <w:t xml:space="preserve">4（誤）</w:t>
      </w:r>
      <w:r>
        <w:t xml:space="preserve">　ただし書は大学を卒業した者を対象にしています。高校卒業者だけに置き換える説明は合いません。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同センターの解説にある設置目的と語学部の二学科の対象に対応します。</w:t>
      </w:r>
    </w:p>
    <w:p>
      <w:pPr>
        <w:spacing w:after="100"/>
      </w:pPr>
      <w:r>
        <w:rPr>
          <w:b/>
          <w:bCs/>
          <w:color w:val="B00020"/>
        </w:rPr>
        <w:t xml:space="preserve">2（誤）</w:t>
      </w:r>
      <w:r>
        <w:t xml:space="preserve">　対象と言語の組合せが逆です。土語学科は日本人に台湾語を教えるものと説明されています。</w:t>
      </w:r>
    </w:p>
    <w:p>
      <w:pPr>
        <w:spacing w:after="100"/>
      </w:pPr>
      <w:r>
        <w:rPr>
          <w:b/>
          <w:bCs/>
          <w:color w:val="B00020"/>
        </w:rPr>
        <w:t xml:space="preserve">3（誤）</w:t>
      </w:r>
      <w:r>
        <w:t xml:space="preserve">　解説は師範部、語学部、附属学校の設置を記しています。</w:t>
      </w:r>
    </w:p>
    <w:p>
      <w:pPr>
        <w:spacing w:after="100"/>
      </w:pPr>
      <w:r>
        <w:rPr>
          <w:b/>
          <w:bCs/>
          <w:color w:val="B00020"/>
        </w:rPr>
        <w:t xml:space="preserve">4（誤）</w:t>
      </w:r>
      <w:r>
        <w:t xml:space="preserve">　改称の方向が逆です。1919年に国語学校は台湾師範学校となったと記されています。</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記事は、日本語の変種である「台湾日本語」と、接触・再編から生まれた宜蘭クレオールを区別しています。両者を同じ位置付けにする説明は合いません。</w:t>
      </w:r>
    </w:p>
    <w:p>
      <w:pPr>
        <w:spacing w:after="100"/>
      </w:pPr>
      <w:r>
        <w:rPr>
          <w:b/>
          <w:bCs/>
          <w:color w:val="2E7D32"/>
        </w:rPr>
        <w:t xml:space="preserve">2（正）</w:t>
      </w:r>
      <w:r>
        <w:t xml:space="preserve">　記事はアタヤル語と日本語の接触・再編、および子供・孫世代に及ぶ担い手を報告しています。当該事例の説明であり、すべてのクレオールの成立史を一律に定めるものではありません。</w:t>
      </w:r>
    </w:p>
    <w:p>
      <w:pPr>
        <w:spacing w:after="100"/>
      </w:pPr>
      <w:r>
        <w:rPr>
          <w:b/>
          <w:bCs/>
          <w:color w:val="B00020"/>
        </w:rPr>
        <w:t xml:space="preserve">3（誤）</w:t>
      </w:r>
      <w:r>
        <w:t xml:space="preserve">　記事は年配者だけでなく子供・孫世代も担い手であると述べています。高年層に限定する説明は逆です。2018年の記事の記述であり、現在の話者数を示すものではありません。</w:t>
      </w:r>
    </w:p>
    <w:p>
      <w:pPr>
        <w:spacing w:after="100"/>
      </w:pPr>
      <w:r>
        <w:rPr>
          <w:b/>
          <w:bCs/>
          <w:color w:val="B00020"/>
        </w:rPr>
        <w:t xml:space="preserve">4（誤）</w:t>
      </w:r>
      <w:r>
        <w:t xml:space="preserve">　記事は日本語を上層、すなわち語彙供給言語とするクレオールが宜蘭で確認されたと報告しています。存在を否定する説明ではありません。</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条文は自己の言語を使用する権利を明示しています。</w:t>
      </w:r>
    </w:p>
    <w:p>
      <w:pPr>
        <w:spacing w:after="100"/>
      </w:pPr>
      <w:r>
        <w:rPr>
          <w:b/>
          <w:bCs/>
          <w:color w:val="2E7D32"/>
        </w:rPr>
        <w:t xml:space="preserve">2（正）</w:t>
      </w:r>
      <w:r>
        <w:t xml:space="preserve">　第27条の対象と権利の内容に対応します。ここからあらゆる行政サービスの使用言語まで一律には導きません。</w:t>
      </w:r>
    </w:p>
    <w:p>
      <w:pPr>
        <w:spacing w:after="100"/>
      </w:pPr>
      <w:r>
        <w:rPr>
          <w:b/>
          <w:bCs/>
          <w:color w:val="B00020"/>
        </w:rPr>
        <w:t xml:space="preserve">3（誤）</w:t>
      </w:r>
      <w:r>
        <w:t xml:space="preserve">　言語の放棄を要件とする記述はありません。文化・宗教・言語に関する権利を否定されないとしています。</w:t>
      </w:r>
    </w:p>
    <w:p>
      <w:pPr>
        <w:spacing w:after="100"/>
      </w:pPr>
      <w:r>
        <w:rPr>
          <w:b/>
          <w:bCs/>
          <w:color w:val="B00020"/>
        </w:rPr>
        <w:t xml:space="preserve">4（誤）</w:t>
      </w:r>
      <w:r>
        <w:t xml:space="preserve">　唯一の公用語への指定を義務付ける条文ではありません。自己の言語を使用する権利と区別します。</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Factor 7のactive assimilationの説明に対応します。</w:t>
      </w:r>
    </w:p>
    <w:p>
      <w:pPr>
        <w:spacing w:after="100"/>
      </w:pPr>
      <w:r>
        <w:rPr>
          <w:b/>
          <w:bCs/>
          <w:color w:val="B00020"/>
        </w:rPr>
        <w:t xml:space="preserve">2（誤）</w:t>
      </w:r>
      <w:r>
        <w:t xml:space="preserve">　equal supportはすべての言語を価値あるものとし、保護と維持を促す側です。</w:t>
      </w:r>
    </w:p>
    <w:p>
      <w:pPr>
        <w:spacing w:after="100"/>
      </w:pPr>
      <w:r>
        <w:rPr>
          <w:b/>
          <w:bCs/>
          <w:color w:val="B00020"/>
        </w:rPr>
        <w:t xml:space="preserve">3（誤）</w:t>
      </w:r>
      <w:r>
        <w:t xml:space="preserve">　その説明はequal supportの側です。passive assimilationは、明示的政策がなくても支配的言語が優勢な状態を含みます。</w:t>
      </w:r>
    </w:p>
    <w:p>
      <w:pPr>
        <w:spacing w:after="100"/>
      </w:pPr>
      <w:r>
        <w:rPr>
          <w:b/>
          <w:bCs/>
          <w:color w:val="B00020"/>
        </w:rPr>
        <w:t xml:space="preserve">4（誤）</w:t>
      </w:r>
      <w:r>
        <w:t xml:space="preserve">　同報告はpassive assimilationなどとprohibitionを区別しています。同化をすべて明文禁止と同一視できません。</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原著82頁は、他の分類の行動も調節機能を持ちうると区別します。他者に影響するという理由だけで、すべてをレギュレーターのみに分類していません。</w:t>
      </w:r>
    </w:p>
    <w:p>
      <w:pPr>
        <w:spacing w:after="100"/>
      </w:pPr>
      <w:r>
        <w:rPr>
          <w:b/>
          <w:bCs/>
          <w:color w:val="B00020"/>
        </w:rPr>
        <w:t xml:space="preserve">2（誤）</w:t>
      </w:r>
      <w:r>
        <w:t xml:space="preserve">　原著82頁は、レギュレーターを会話の流れや進み方と結び付け、語の強調などを担う行動と区別しています。この肢はその関係を逆にしています。</w:t>
      </w:r>
    </w:p>
    <w:p>
      <w:pPr>
        <w:spacing w:after="100"/>
      </w:pPr>
      <w:r>
        <w:rPr>
          <w:b/>
          <w:bCs/>
          <w:color w:val="B00020"/>
        </w:rPr>
        <w:t xml:space="preserve">3（誤）</w:t>
      </w:r>
      <w:r>
        <w:t xml:space="preserve">　原著82～83頁は、必ずしも意識的・意図的ではなく、十分に学習された習慣として行われる面を述べています。毎回意識的に計画するという限定は合いません。</w:t>
      </w:r>
    </w:p>
    <w:p>
      <w:pPr>
        <w:spacing w:after="100"/>
      </w:pPr>
      <w:r>
        <w:rPr>
          <w:b/>
          <w:bCs/>
          <w:color w:val="2E7D32"/>
        </w:rPr>
        <w:t xml:space="preserve">4（正）</w:t>
      </w:r>
      <w:r>
        <w:t xml:space="preserve">　原著82頁の説明と例に対応します。動作の形だけで機能を固定せず、ここでは会話のやり取りを調節する働きに着目します。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第4条第3項は母語学習や母語による教育の機会を扱い、第4項は少数者に属する人が社会全体を知る機会も示します。一方の機会で他方をなくすという関係ではありません。</w:t>
      </w:r>
    </w:p>
    <w:p>
      <w:pPr>
        <w:spacing w:after="100"/>
      </w:pPr>
      <w:r>
        <w:rPr>
          <w:b/>
          <w:bCs/>
          <w:color w:val="B00020"/>
        </w:rPr>
        <w:t xml:space="preserve">2（誤）</w:t>
      </w:r>
      <w:r>
        <w:t xml:space="preserve">　第4条第4項は、適切な場合には、領域内の少数者の歴史・伝統・言語・文化についての知識を促す教育上の措置を取るべきだとしています。</w:t>
      </w:r>
    </w:p>
    <w:p>
      <w:pPr>
        <w:spacing w:after="100"/>
      </w:pPr>
      <w:r>
        <w:rPr>
          <w:b/>
          <w:bCs/>
          <w:color w:val="2E7D32"/>
        </w:rPr>
        <w:t xml:space="preserve">3（正）</w:t>
      </w:r>
      <w:r>
        <w:t xml:space="preserve">　第4条第3項の可能な限りという条件と、第4項の社会全体を知る機会に対応します。母語学習の教育効果を普遍的に実証した条文ではありません。</w:t>
      </w:r>
    </w:p>
    <w:p>
      <w:pPr>
        <w:spacing w:after="100"/>
      </w:pPr>
      <w:r>
        <w:rPr>
          <w:b/>
          <w:bCs/>
          <w:color w:val="B00020"/>
        </w:rPr>
        <w:t xml:space="preserve">4（誤）</w:t>
      </w:r>
      <w:r>
        <w:t xml:space="preserve">　第4条第3項には可能な限りという条件があり、母語を学ぶ機会または母語で教育を受ける機会を挙げています。全機関・全科目・母語のみという一律の指定はありません。</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同資料は持っている言語の知識や経験を資源として扱っています。家庭の言語の全面禁止ではありません。</w:t>
      </w:r>
    </w:p>
    <w:p>
      <w:pPr>
        <w:spacing w:after="100"/>
      </w:pPr>
      <w:r>
        <w:rPr>
          <w:b/>
          <w:bCs/>
          <w:color w:val="B00020"/>
        </w:rPr>
        <w:t xml:space="preserve">2（誤）</w:t>
      </w:r>
      <w:r>
        <w:t xml:space="preserve">　同資料は文章の言語にかかわらず、言語レパートリー全体を生かす機会を勧めています。</w:t>
      </w:r>
    </w:p>
    <w:p>
      <w:pPr>
        <w:spacing w:after="100"/>
      </w:pPr>
      <w:r>
        <w:rPr>
          <w:b/>
          <w:bCs/>
          <w:color w:val="2E7D32"/>
        </w:rPr>
        <w:t xml:space="preserve">3（正）</w:t>
      </w:r>
      <w:r>
        <w:t xml:space="preserve">　同資料の第1原則に対応します。特定の手法だけで全員の学習成果が必ず上がるという因果保証ではありません。</w:t>
      </w:r>
    </w:p>
    <w:p>
      <w:pPr>
        <w:spacing w:after="100"/>
      </w:pPr>
      <w:r>
        <w:rPr>
          <w:b/>
          <w:bCs/>
          <w:color w:val="B00020"/>
        </w:rPr>
        <w:t xml:space="preserve">4（誤）</w:t>
      </w:r>
      <w:r>
        <w:t xml:space="preserve">　資料は児童生徒の読み手・書き手としての学習環境を扱っています。専門翻訳者だけに限っていません。</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spacing w:after="100"/>
      </w:pPr>
      <w:r>
        <w:rPr>
          <w:b/>
          <w:bCs/>
          <w:color w:val="B00020"/>
        </w:rPr>
        <w:t xml:space="preserve">2（誤）</w:t>
      </w:r>
      <w:r>
        <w:t xml:space="preserve">　案内は留学と帰国に伴う適応の経過を扱っています。言語習得の年齢限界のモデルではありません。</w:t>
      </w:r>
    </w:p>
    <w:p>
      <w:pPr>
        <w:spacing w:after="100"/>
      </w:pPr>
      <w:r>
        <w:rPr>
          <w:b/>
          <w:bCs/>
          <w:color w:val="2E7D32"/>
        </w:rPr>
        <w:t xml:space="preserve">3（正）</w:t>
      </w:r>
      <w:r>
        <w:t xml:space="preserve">　案内の二つの質問への説明に対応します。留学中と帰国後の両方を含めて理解します。</w:t>
      </w:r>
    </w:p>
    <w:p>
      <w:pPr>
        <w:spacing w:after="100"/>
      </w:pPr>
      <w:r>
        <w:rPr>
          <w:b/>
          <w:bCs/>
          <w:color w:val="B00020"/>
        </w:rPr>
        <w:t xml:space="preserve">4（誤）</w:t>
      </w:r>
      <w:r>
        <w:t xml:space="preserve">　案内は帰国後にも曲線が続くと説明しています。帰国後を除外する説明は合いません。</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同報告書の当該節は、仕事や試験合格などの利点を道具的な側の例に挙げています。</w:t>
      </w:r>
    </w:p>
    <w:p>
      <w:pPr>
        <w:spacing w:after="100"/>
      </w:pPr>
      <w:r>
        <w:rPr>
          <w:b/>
          <w:bCs/>
          <w:color w:val="B00020"/>
        </w:rPr>
        <w:t xml:space="preserve">2（誤）</w:t>
      </w:r>
      <w:r>
        <w:t xml:space="preserve">　人々や文化への関心と接触を求める側は、統合的な側として紹介されています。</w:t>
      </w:r>
    </w:p>
    <w:p>
      <w:pPr>
        <w:spacing w:after="100"/>
      </w:pPr>
      <w:r>
        <w:rPr>
          <w:b/>
          <w:bCs/>
          <w:color w:val="B00020"/>
        </w:rPr>
        <w:t xml:space="preserve">3（誤）</w:t>
      </w:r>
      <w:r>
        <w:t xml:space="preserve">　学ぶ理由・目的の区別と、実際の努力量や行動の強さの測定は同じではありません。</w:t>
      </w:r>
    </w:p>
    <w:p>
      <w:pPr>
        <w:spacing w:after="100"/>
      </w:pPr>
      <w:r>
        <w:rPr>
          <w:b/>
          <w:bCs/>
          <w:color w:val="B00020"/>
        </w:rPr>
        <w:t xml:space="preserve">4（誤）</w:t>
      </w:r>
      <w:r>
        <w:t xml:space="preserve">　当該節は学習文脈による適用上の限界にも触れています。あらゆる場面での優越を証明していません。</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同用語集は明確化を求めることを方略の例に挙げています。確認を全面的に排除する説明は合いません。</w:t>
      </w:r>
    </w:p>
    <w:p>
      <w:pPr>
        <w:spacing w:after="100"/>
      </w:pPr>
      <w:r>
        <w:rPr>
          <w:b/>
          <w:bCs/>
          <w:color w:val="B00020"/>
        </w:rPr>
        <w:t xml:space="preserve">2（誤）</w:t>
      </w:r>
      <w:r>
        <w:t xml:space="preserve">　同項は話し手と聞き手などの双方向のコミュニケーションとして説明しています。</w:t>
      </w:r>
    </w:p>
    <w:p>
      <w:pPr>
        <w:spacing w:after="100"/>
      </w:pPr>
      <w:r>
        <w:rPr>
          <w:b/>
          <w:bCs/>
          <w:color w:val="B00020"/>
        </w:rPr>
        <w:t xml:space="preserve">3（誤）</w:t>
      </w:r>
      <w:r>
        <w:t xml:space="preserve">　反復や明確化の要求は同項に挙げられた例です。</w:t>
      </w:r>
    </w:p>
    <w:p>
      <w:pPr>
        <w:spacing w:after="100"/>
      </w:pPr>
      <w:r>
        <w:rPr>
          <w:b/>
          <w:bCs/>
          <w:color w:val="2E7D32"/>
        </w:rPr>
        <w:t xml:space="preserve">4（正）</w:t>
      </w:r>
      <w:r>
        <w:t xml:space="preserve">　同項の方略の例に対応します。全員の習得速度や不安への効果を保証する説明ではありません。</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同記事が離散的項目に与える説明と取り違えています。</w:t>
      </w:r>
    </w:p>
    <w:p>
      <w:pPr>
        <w:spacing w:after="100"/>
      </w:pPr>
      <w:r>
        <w:rPr>
          <w:b/>
          <w:bCs/>
          <w:color w:val="B00020"/>
        </w:rPr>
        <w:t xml:space="preserve">2（誤）</w:t>
      </w:r>
      <w:r>
        <w:t xml:space="preserve">　同記事は複数の技能を同時に使うことを統合的項目の特徴として説明しています。</w:t>
      </w:r>
    </w:p>
    <w:p>
      <w:pPr>
        <w:spacing w:after="100"/>
      </w:pPr>
      <w:r>
        <w:rPr>
          <w:b/>
          <w:bCs/>
          <w:color w:val="B00020"/>
        </w:rPr>
        <w:t xml:space="preserve">3（誤）</w:t>
      </w:r>
      <w:r>
        <w:t xml:space="preserve">　同記事は聞くことと書くことを用いる例としてディクテーションを挙げています。</w:t>
      </w:r>
    </w:p>
    <w:p>
      <w:pPr>
        <w:spacing w:after="100"/>
      </w:pPr>
      <w:r>
        <w:rPr>
          <w:b/>
          <w:bCs/>
          <w:color w:val="2E7D32"/>
        </w:rPr>
        <w:t xml:space="preserve">4（正）</w:t>
      </w:r>
      <w:r>
        <w:t xml:space="preserve">　同記事の対比に合います。表面上の形式だけで、あらゆる課題の測定内容が同じだと決めるものではありません。</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原著27頁の説明と28頁のTable 5は、話題の回避とメッセージの断念を回避・縮小方略に挙げています。ここでは分類を問い、誤用数だけから個人の回避や習得を断定していません。</w:t>
      </w:r>
    </w:p>
    <w:p>
      <w:pPr>
        <w:spacing w:after="100"/>
      </w:pPr>
      <w:r>
        <w:rPr>
          <w:b/>
          <w:bCs/>
          <w:color w:val="B00020"/>
        </w:rPr>
        <w:t xml:space="preserve">2（誤）</w:t>
      </w:r>
      <w:r>
        <w:t xml:space="preserve">　Table 5は迂言を達成・補償方略に分類しています。語の意味を説明して伝えようとする例であり、同表の回避・縮小方略ではありません。</w:t>
      </w:r>
    </w:p>
    <w:p>
      <w:pPr>
        <w:spacing w:after="100"/>
      </w:pPr>
      <w:r>
        <w:rPr>
          <w:b/>
          <w:bCs/>
          <w:color w:val="B00020"/>
        </w:rPr>
        <w:t xml:space="preserve">3（誤）</w:t>
      </w:r>
      <w:r>
        <w:t xml:space="preserve">　原著27頁とTable 5は、つなぎ語や繰り返しを時間稼ぎの方略に挙げています。同表では回避・縮小方略と別の区分です。</w:t>
      </w:r>
    </w:p>
    <w:p>
      <w:pPr>
        <w:spacing w:after="100"/>
      </w:pPr>
      <w:r>
        <w:rPr>
          <w:b/>
          <w:bCs/>
          <w:color w:val="B00020"/>
        </w:rPr>
        <w:t xml:space="preserve">4（誤）</w:t>
      </w:r>
      <w:r>
        <w:t xml:space="preserve">　原著27頁とTable 5は、自発的な修復を自己モニタリング方略に挙げています。同表では回避・縮小方略と別の区分です。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原論文の表1注記は、番号は分類であり尺度上の優劣ではないと明記しています。</w:t>
      </w:r>
    </w:p>
    <w:p>
      <w:pPr>
        <w:spacing w:after="100"/>
      </w:pPr>
      <w:r>
        <w:rPr>
          <w:b/>
          <w:bCs/>
          <w:color w:val="2E7D32"/>
        </w:rPr>
        <w:t xml:space="preserve">2（正）</w:t>
      </w:r>
      <w:r>
        <w:t xml:space="preserve">　印刷3〜5頁の手続に対応します。表1は教師の発話、生徒の応答・自発発話、沈黙・混乱を分類しています。</w:t>
      </w:r>
    </w:p>
    <w:p>
      <w:pPr>
        <w:spacing w:after="100"/>
      </w:pPr>
      <w:r>
        <w:rPr>
          <w:b/>
          <w:bCs/>
          <w:color w:val="B00020"/>
        </w:rPr>
        <w:t xml:space="preserve">3（誤）</w:t>
      </w:r>
      <w:r>
        <w:t xml:space="preserve">　表1には生徒の応答・自発発話、沈黙・混乱も含まれます。教師の発話だけに限定しません。</w:t>
      </w:r>
    </w:p>
    <w:p>
      <w:pPr>
        <w:spacing w:after="100"/>
      </w:pPr>
      <w:r>
        <w:rPr>
          <w:b/>
          <w:bCs/>
          <w:color w:val="B00020"/>
        </w:rPr>
        <w:t xml:space="preserve">4（誤）</w:t>
      </w:r>
      <w:r>
        <w:t xml:space="preserve">　同論文は10カテゴリと記録・行列化の手続を示しています。自由な感想だけの方法ではありません。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spacing w:after="100"/>
      </w:pPr>
      <w:r>
        <w:rPr>
          <w:b/>
          <w:bCs/>
          <w:color w:val="B00020"/>
        </w:rPr>
        <w:t xml:space="preserve">2（誤）</w:t>
      </w:r>
      <w:r>
        <w:t xml:space="preserve">　案内は全員共通の日数を示していません。モデルから固定日程を導くことはできません。</w:t>
      </w:r>
    </w:p>
    <w:p>
      <w:pPr>
        <w:spacing w:after="100"/>
      </w:pPr>
      <w:r>
        <w:rPr>
          <w:b/>
          <w:bCs/>
          <w:color w:val="2E7D32"/>
        </w:rPr>
        <w:t xml:space="preserve">3（正）</w:t>
      </w:r>
      <w:r>
        <w:t xml:space="preserve">　案内に示された高低の説明を、範囲を限定して紹介する扱いです。特定の個人の状態を曲線だけで確定しません。</w:t>
      </w:r>
    </w:p>
    <w:p>
      <w:pPr>
        <w:spacing w:after="100"/>
      </w:pPr>
      <w:r>
        <w:rPr>
          <w:b/>
          <w:bCs/>
          <w:color w:val="B00020"/>
        </w:rPr>
        <w:t xml:space="preserve">4（誤）</w:t>
      </w:r>
      <w:r>
        <w:t xml:space="preserve">　案内は帰国後の戸惑いと再適応にも触れています。そこを含まないとする説明は合いません。</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研修紹介は実践や前提を振り返り検討する活動です。全員の心理状態を一律に判定する説明ではありません。</w:t>
      </w:r>
    </w:p>
    <w:p>
      <w:pPr>
        <w:spacing w:after="100"/>
      </w:pPr>
      <w:r>
        <w:rPr>
          <w:b/>
          <w:bCs/>
          <w:color w:val="B00020"/>
        </w:rPr>
        <w:t xml:space="preserve">2（誤）</w:t>
      </w:r>
      <w:r>
        <w:t xml:space="preserve">　紹介は行き違いや誤解の場面の討議を含みます。発音の採点だけではありません。</w:t>
      </w:r>
    </w:p>
    <w:p>
      <w:pPr>
        <w:spacing w:after="100"/>
      </w:pPr>
      <w:r>
        <w:rPr>
          <w:b/>
          <w:bCs/>
          <w:color w:val="B00020"/>
        </w:rPr>
        <w:t xml:space="preserve">3（誤）</w:t>
      </w:r>
      <w:r>
        <w:t xml:space="preserve">　紹介は自分の前提を見直すことも含みます。最初の印象だけで検討を終える活動ではありません。</w:t>
      </w:r>
    </w:p>
    <w:p>
      <w:pPr>
        <w:spacing w:after="100"/>
      </w:pPr>
      <w:r>
        <w:rPr>
          <w:b/>
          <w:bCs/>
          <w:color w:val="2E7D32"/>
        </w:rPr>
        <w:t xml:space="preserve">4（正）</w:t>
      </w:r>
      <w:r>
        <w:t xml:space="preserve">　研修紹介の説明に対応します。出来事の原因を最初から文化差だけに限定するという意味ではありません。</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同節の定義は、聴取・理解・続きへの関心などを含みます。賛成だけに限定しません。</w:t>
      </w:r>
    </w:p>
    <w:p>
      <w:pPr>
        <w:spacing w:after="100"/>
      </w:pPr>
      <w:r>
        <w:rPr>
          <w:b/>
          <w:bCs/>
          <w:color w:val="B00020"/>
        </w:rPr>
        <w:t xml:space="preserve">2（誤）</w:t>
      </w:r>
      <w:r>
        <w:t xml:space="preserve">　同節は同様の働きを持つ非言語的行動も広義に含めます。ただし実際の分析対象とは区別しています。</w:t>
      </w:r>
    </w:p>
    <w:p>
      <w:pPr>
        <w:spacing w:after="100"/>
      </w:pPr>
      <w:r>
        <w:rPr>
          <w:b/>
          <w:bCs/>
          <w:color w:val="B00020"/>
        </w:rPr>
        <w:t xml:space="preserve">3（誤）</w:t>
      </w:r>
      <w:r>
        <w:t xml:space="preserve">　同節では内容を変える実質的な反論をあいづちから区別しています。</w:t>
      </w:r>
    </w:p>
    <w:p>
      <w:pPr>
        <w:spacing w:after="100"/>
      </w:pPr>
      <w:r>
        <w:rPr>
          <w:b/>
          <w:bCs/>
          <w:color w:val="2E7D32"/>
        </w:rPr>
        <w:t xml:space="preserve">4（正）</w:t>
      </w:r>
      <w:r>
        <w:t xml:space="preserve">　同節の定義に対応します。同研究の対象外の言語との頻度比較まで証明したものではありません。</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会話にはFが長い意見を述べた事実がありません。記録にない行動を評価の根拠にしません。</w:t>
      </w:r>
    </w:p>
    <w:p>
      <w:pPr>
        <w:spacing w:after="100"/>
      </w:pPr>
      <w:r>
        <w:rPr>
          <w:b/>
          <w:bCs/>
          <w:color w:val="B00020"/>
        </w:rPr>
        <w:t xml:space="preserve">2（誤）</w:t>
      </w:r>
      <w:r>
        <w:t xml:space="preserve">　Fは続きへの関心を述べています。拒絶の意図を確定する根拠にはなりません。</w:t>
      </w:r>
    </w:p>
    <w:p>
      <w:pPr>
        <w:spacing w:after="100"/>
      </w:pPr>
      <w:r>
        <w:rPr>
          <w:b/>
          <w:bCs/>
          <w:color w:val="2E7D32"/>
        </w:rPr>
        <w:t xml:space="preserve">3（正）</w:t>
      </w:r>
      <w:r>
        <w:t xml:space="preserve">　明示された両者の説明に即した検討です。あいづちにはさらに聞きたいと示す働きもあるため、語だけで意図を固定しません。</w:t>
      </w:r>
    </w:p>
    <w:p>
      <w:pPr>
        <w:spacing w:after="100"/>
      </w:pPr>
      <w:r>
        <w:rPr>
          <w:b/>
          <w:bCs/>
          <w:color w:val="B00020"/>
        </w:rPr>
        <w:t xml:space="preserve">4（誤）</w:t>
      </w:r>
      <w:r>
        <w:t xml:space="preserve">　応答の受け止めはこの事例で明示されています。他のすべての場面まで同じと結論できません。</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同記事の物語を話す前の活動案に対応します。実施には利用環境と授業目標に合う選択が必要です。</w:t>
      </w:r>
    </w:p>
    <w:p>
      <w:pPr>
        <w:spacing w:after="100"/>
      </w:pPr>
      <w:r>
        <w:rPr>
          <w:b/>
          <w:bCs/>
          <w:color w:val="B00020"/>
        </w:rPr>
        <w:t xml:space="preserve">2（誤）</w:t>
      </w:r>
      <w:r>
        <w:t xml:space="preserve">　同記事はチャットでの質問や予想の投稿を紹介しています。</w:t>
      </w:r>
    </w:p>
    <w:p>
      <w:pPr>
        <w:spacing w:after="100"/>
      </w:pPr>
      <w:r>
        <w:rPr>
          <w:b/>
          <w:bCs/>
          <w:color w:val="B00020"/>
        </w:rPr>
        <w:t xml:space="preserve">3（誤）</w:t>
      </w:r>
      <w:r>
        <w:t xml:space="preserve">　同記事は小部屋でペアが予想した物語を話す活動案も示しています。</w:t>
      </w:r>
    </w:p>
    <w:p>
      <w:pPr>
        <w:spacing w:after="100"/>
      </w:pPr>
      <w:r>
        <w:rPr>
          <w:b/>
          <w:bCs/>
          <w:color w:val="B00020"/>
        </w:rPr>
        <w:t xml:space="preserve">4（誤）</w:t>
      </w:r>
      <w:r>
        <w:t xml:space="preserve">　同記事はカメラを使えない場合にも身体表現を試す活動の参加を排除していません。画面上で共有できる範囲とは区別します。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導入の条件付きの説明に合います。個々のタスクの結果を必ず一方向に予測する普遍法則ではありません。</w:t>
      </w:r>
    </w:p>
    <w:p>
      <w:pPr>
        <w:spacing w:after="100"/>
      </w:pPr>
      <w:r>
        <w:rPr>
          <w:b/>
          <w:bCs/>
          <w:color w:val="B00020"/>
        </w:rPr>
        <w:t xml:space="preserve">2（誤）</w:t>
      </w:r>
      <w:r>
        <w:t xml:space="preserve">　同論文は側面間の緊張関係と条件の違いを議論しています。一律の同時上昇を述べたものではありません。</w:t>
      </w:r>
    </w:p>
    <w:p>
      <w:pPr>
        <w:spacing w:after="100"/>
      </w:pPr>
      <w:r>
        <w:rPr>
          <w:b/>
          <w:bCs/>
          <w:color w:val="B00020"/>
        </w:rPr>
        <w:t xml:space="preserve">3（誤）</w:t>
      </w:r>
      <w:r>
        <w:t xml:space="preserve">　注意配分の競合を考える説明と合いません。正確さへの注意だけで流暢さの最大化を保証しません。</w:t>
      </w:r>
    </w:p>
    <w:p>
      <w:pPr>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同論文4.2節にある、本稿で採用する定義に対応します。分析は文末スタイルのシフトに限定されています。</w:t>
      </w:r>
    </w:p>
    <w:p>
      <w:pPr>
        <w:spacing w:after="100"/>
      </w:pPr>
      <w:r>
        <w:rPr>
          <w:b/>
          <w:bCs/>
          <w:color w:val="B00020"/>
        </w:rPr>
        <w:t xml:space="preserve">2（誤）</w:t>
      </w:r>
      <w:r>
        <w:t xml:space="preserve">　設問は一時的な移動を問います。同じまま動かないという説明とは異なります。</w:t>
      </w:r>
    </w:p>
    <w:p>
      <w:pPr>
        <w:spacing w:after="100"/>
      </w:pPr>
      <w:r>
        <w:rPr>
          <w:b/>
          <w:bCs/>
          <w:color w:val="B00020"/>
        </w:rPr>
        <w:t xml:space="preserve">3（誤）</w:t>
      </w:r>
      <w:r>
        <w:t xml:space="preserve">　同論文がここで定義しているのはレベル間の移動であり、単なる語数ではありません。</w:t>
      </w:r>
    </w:p>
    <w:p>
      <w:pPr>
        <w:spacing w:after="100"/>
      </w:pPr>
      <w:r>
        <w:rPr>
          <w:b/>
          <w:bCs/>
          <w:color w:val="B00020"/>
        </w:rPr>
        <w:t xml:space="preserve">4（誤）</w:t>
      </w:r>
      <w:r>
        <w:t xml:space="preserve">　発話のレベルの移動を問うもので、文字の書体だけの変更ではありません。</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指針10頁は仕組みや心遣いと共に場面に即した具体例を示すこと、11頁は知識と実践的使用の両方を扱います。場面での選択を除く方針は合いません。</w:t>
      </w:r>
    </w:p>
    <w:p>
      <w:pPr>
        <w:spacing w:after="100"/>
      </w:pPr>
      <w:r>
        <w:rPr>
          <w:b/>
          <w:bCs/>
          <w:color w:val="2E7D32"/>
        </w:rPr>
        <w:t xml:space="preserve">2（正）</w:t>
      </w:r>
      <w:r>
        <w:t xml:space="preserve">　指針10頁の複数の表現例と選択の考え方、11頁の知識と実践的使用を組み合わせた方針です。ケースの場面比較から今後の教材へ広げる適用例で、効果を保証するものではありません。</w:t>
      </w:r>
    </w:p>
    <w:p>
      <w:pPr>
        <w:spacing w:after="100"/>
      </w:pPr>
      <w:r>
        <w:rPr>
          <w:b/>
          <w:bCs/>
          <w:color w:val="B00020"/>
        </w:rPr>
        <w:t xml:space="preserve">3（誤）</w:t>
      </w:r>
      <w:r>
        <w:t xml:space="preserve">　指針10頁は手引に示された内容を唯一絶対とせず、相手や状況に応じた複数の表現や選択の考え方を示すよう述べています。唯一の表現を固定する方針は逆です。</w:t>
      </w:r>
    </w:p>
    <w:p>
      <w:pPr>
        <w:spacing w:after="100"/>
      </w:pPr>
      <w:r>
        <w:rPr>
          <w:b/>
          <w:bCs/>
          <w:color w:val="B00020"/>
        </w:rPr>
        <w:t xml:space="preserve">4（誤）</w:t>
      </w:r>
      <w:r>
        <w:t xml:space="preserve">　指針11頁は日常の使用を見聞きして使う経験を重視すると同時に、能動的・意図的な学習や教育の機会を設けることも求めています。経験だけには限定しません。</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spacing w:after="100"/>
      </w:pPr>
      <w:r>
        <w:rPr>
          <w:b/>
          <w:bCs/>
          <w:color w:val="B00020"/>
        </w:rPr>
        <w:t xml:space="preserve">2（誤）</w:t>
      </w:r>
      <w:r>
        <w:t xml:space="preserve">　公式紹介は日本語予備教育を実施する事業として説明しています。</w:t>
      </w:r>
    </w:p>
    <w:p>
      <w:pPr>
        <w:spacing w:after="100"/>
      </w:pPr>
      <w:r>
        <w:rPr>
          <w:b/>
          <w:bCs/>
          <w:color w:val="B00020"/>
        </w:rPr>
        <w:t xml:space="preserve">3（誤）</w:t>
      </w:r>
      <w:r>
        <w:t xml:space="preserve">　紹介する水準は初級から中級程度です。全員に学習不要とする説明ではありません。</w:t>
      </w:r>
    </w:p>
    <w:p>
      <w:pPr>
        <w:spacing w:after="100"/>
      </w:pPr>
      <w:r>
        <w:rPr>
          <w:b/>
          <w:bCs/>
          <w:color w:val="B00020"/>
        </w:rPr>
        <w:t xml:space="preserve">4（誤）</w:t>
      </w:r>
      <w:r>
        <w:t xml:space="preserve">　対象は看護師・介護福祉士候補者であり、一般旅行者だけの事業ではありません。</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紹介記事が説明する言語面の橋渡しに合いません。相談者の発言を伝えず決定を代わる説明ではありません。</w:t>
      </w:r>
    </w:p>
    <w:p>
      <w:pPr>
        <w:spacing w:after="100"/>
      </w:pPr>
      <w:r>
        <w:rPr>
          <w:b/>
          <w:bCs/>
          <w:color w:val="B00020"/>
        </w:rPr>
        <w:t xml:space="preserve">2（誤）</w:t>
      </w:r>
      <w:r>
        <w:t xml:space="preserve">　記事は言語面の支援と社会への橋渡しを説明しています。文法試験の採点だけではありません。</w:t>
      </w:r>
    </w:p>
    <w:p>
      <w:pPr>
        <w:spacing w:after="100"/>
      </w:pPr>
      <w:r>
        <w:rPr>
          <w:b/>
          <w:bCs/>
          <w:color w:val="2E7D32"/>
        </w:rPr>
        <w:t xml:space="preserve">3（正）</w:t>
      </w:r>
      <w:r>
        <w:t xml:space="preserve">　記事の役割の説明と、専門家の助言を正確に通訳する人材へのニーズに対応します。</w:t>
      </w:r>
    </w:p>
    <w:p>
      <w:pPr>
        <w:spacing w:after="100"/>
      </w:pPr>
      <w:r>
        <w:rPr>
          <w:b/>
          <w:bCs/>
          <w:color w:val="B00020"/>
        </w:rPr>
        <w:t xml:space="preserve">4（誤）</w:t>
      </w:r>
      <w:r>
        <w:t xml:space="preserve">　記事は弁護士会との連携による法律相談の通訳実践と、助言を正確に通訳する人材へのニーズを説明しています。</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原著188頁は、非標準的な話し方への表立って表明されない好意と集団の連帯を結び付け、潜在的威信を説明しています。当該調査の解釈を全社会・全話者へ一般化しません。</w:t>
      </w:r>
    </w:p>
    <w:p>
      <w:pPr>
        <w:spacing w:after="100"/>
      </w:pPr>
      <w:r>
        <w:rPr>
          <w:b/>
          <w:bCs/>
          <w:color w:val="B00020"/>
        </w:rPr>
        <w:t xml:space="preserve">2（誤）</w:t>
      </w:r>
      <w:r>
        <w:t xml:space="preserve">　原著188頁は、Norwichの男性話者にとって労働者階級の非標準的な話し方が威信を持つという解釈を示します。標準的な形だけに評価が伴うという限定ではありません。</w:t>
      </w:r>
    </w:p>
    <w:p>
      <w:pPr>
        <w:spacing w:after="100"/>
      </w:pPr>
      <w:r>
        <w:rPr>
          <w:b/>
          <w:bCs/>
          <w:color w:val="B00020"/>
        </w:rPr>
        <w:t xml:space="preserve">3（誤）</w:t>
      </w:r>
      <w:r>
        <w:t xml:space="preserve">　原著188頁では、好意的な態度が表立っては表明されないことと、自己評価の回答に表れる隠れた価値を区別しています。公の明言を必須条件とする説明は逆です。</w:t>
      </w:r>
    </w:p>
    <w:p>
      <w:pPr>
        <w:spacing w:after="100"/>
      </w:pPr>
      <w:r>
        <w:rPr>
          <w:b/>
          <w:bCs/>
          <w:color w:val="B00020"/>
        </w:rPr>
        <w:t xml:space="preserve">4（誤）</w:t>
      </w:r>
      <w:r>
        <w:t xml:space="preserve">　原著186～188頁は、実際より標準的な形を少なく使うと申告する傾向を含めた自己評価の結果を検討し、隠れた価値の解釈につなげています。結果を解釈から除いてはいません。</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設問は帰国後も含む案内のモデルを問います。滞在中の一つの谷だけに限定する説明は合いません。</w:t>
      </w:r>
    </w:p>
    <w:p>
      <w:pPr>
        <w:spacing w:after="100"/>
      </w:pPr>
      <w:r>
        <w:rPr>
          <w:b/>
          <w:bCs/>
          <w:color w:val="B00020"/>
        </w:rPr>
        <w:t xml:space="preserve">2（誤）</w:t>
      </w:r>
      <w:r>
        <w:t xml:space="preserve">　設問は適応の経過を問うもので、語数を示すモデルではありません。</w:t>
      </w:r>
    </w:p>
    <w:p>
      <w:pPr>
        <w:spacing w:after="100"/>
      </w:pPr>
      <w:r>
        <w:rPr>
          <w:b/>
          <w:bCs/>
          <w:color w:val="B00020"/>
        </w:rPr>
        <w:t xml:space="preserve">3（誤）</w:t>
      </w:r>
      <w:r>
        <w:t xml:space="preserve">　案内は語順比較ではなく、留学中と帰国後の適応を説明しています。</w:t>
      </w:r>
    </w:p>
    <w:p>
      <w:pPr>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公式案内は三つのモジュールから構成されるとしています。</w:t>
      </w:r>
    </w:p>
    <w:p>
      <w:pPr>
        <w:spacing w:after="100"/>
      </w:pPr>
      <w:r>
        <w:rPr>
          <w:b/>
          <w:bCs/>
          <w:color w:val="2E7D32"/>
        </w:rPr>
        <w:t xml:space="preserve">2（正）</w:t>
      </w:r>
      <w:r>
        <w:t xml:space="preserve">　公式案内に示された構成と順序・組合せの柔軟性に対応します。個別の申込条件まで不要という意味ではありません。</w:t>
      </w:r>
    </w:p>
    <w:p>
      <w:pPr>
        <w:spacing w:after="100"/>
      </w:pPr>
      <w:r>
        <w:rPr>
          <w:b/>
          <w:bCs/>
          <w:color w:val="B00020"/>
        </w:rPr>
        <w:t xml:space="preserve">3（誤）</w:t>
      </w:r>
      <w:r>
        <w:t xml:space="preserve">　公式案内は任意の順序と説明しています。逆順のみの義務ではありません。</w:t>
      </w:r>
    </w:p>
    <w:p>
      <w:pPr>
        <w:spacing w:after="100"/>
      </w:pPr>
      <w:r>
        <w:rPr>
          <w:b/>
          <w:bCs/>
          <w:color w:val="B00020"/>
        </w:rPr>
        <w:t xml:space="preserve">4（誤）</w:t>
      </w:r>
      <w:r>
        <w:t xml:space="preserve">　任意の組合せと説明されており、全モジュール同時開始だけに限定する記述ではありません。</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記事は教師と学習者が画面を通じてコンピューターを操作すると説明し、学習者自身によるボードの使用や発表を例に挙げています。</w:t>
      </w:r>
    </w:p>
    <w:p>
      <w:pPr>
        <w:spacing w:after="100"/>
      </w:pPr>
      <w:r>
        <w:rPr>
          <w:b/>
          <w:bCs/>
          <w:color w:val="B00020"/>
        </w:rPr>
        <w:t xml:space="preserve">2（誤）</w:t>
      </w:r>
      <w:r>
        <w:t xml:space="preserve">　機器説明は教師と学習者の双方による操作を認めています。教師だけが使えるという限定は記事に合いません。</w:t>
      </w:r>
    </w:p>
    <w:p>
      <w:pPr>
        <w:spacing w:after="100"/>
      </w:pPr>
      <w:r>
        <w:rPr>
          <w:b/>
          <w:bCs/>
          <w:color w:val="B00020"/>
        </w:rPr>
        <w:t xml:space="preserve">3（誤）</w:t>
      </w:r>
      <w:r>
        <w:t xml:space="preserve">　記事の例では、学習者がボード上の音素記号をクリックして発音を聞き、語の発音を考えます。クリックを除く説明は逆です。</w:t>
      </w:r>
    </w:p>
    <w:p>
      <w:pPr>
        <w:spacing w:after="100"/>
      </w:pPr>
      <w:r>
        <w:rPr>
          <w:b/>
          <w:bCs/>
          <w:color w:val="B00020"/>
        </w:rPr>
        <w:t xml:space="preserve">4（誤）</w:t>
      </w:r>
      <w:r>
        <w:t xml:space="preserve">　記事は学習者自身による使用を重視し、学習者が授業の一部を進行する活動も挙げています。機器の導入だけで学習者中心になると保証しているわけではありません。</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同解説は漢字・ひらがな・カタカナを交えた表記を説明しています。</w:t>
      </w:r>
    </w:p>
    <w:p>
      <w:pPr>
        <w:spacing w:after="100"/>
      </w:pPr>
      <w:r>
        <w:rPr>
          <w:b/>
          <w:bCs/>
          <w:color w:val="2E7D32"/>
        </w:rPr>
        <w:t xml:space="preserve">2（正）</w:t>
      </w:r>
      <w:r>
        <w:t xml:space="preserve">　同解説の対比に対応します。個々の文章のすべての文字がこの種類だけという断定ではありません。</w:t>
      </w:r>
    </w:p>
    <w:p>
      <w:pPr>
        <w:spacing w:after="100"/>
      </w:pPr>
      <w:r>
        <w:rPr>
          <w:b/>
          <w:bCs/>
          <w:color w:val="B00020"/>
        </w:rPr>
        <w:t xml:space="preserve">3（誤）</w:t>
      </w:r>
      <w:r>
        <w:t xml:space="preserve">　同解説は中国語の表記のほとんどが漢字によると説明しています。</w:t>
      </w:r>
    </w:p>
    <w:p>
      <w:pPr>
        <w:spacing w:after="100"/>
      </w:pPr>
      <w:r>
        <w:rPr>
          <w:b/>
          <w:bCs/>
          <w:color w:val="B00020"/>
        </w:rPr>
        <w:t xml:space="preserve">4（誤）</w:t>
      </w:r>
      <w:r>
        <w:t xml:space="preserve">　同解説はローマ字で日本語の単語や文章を書くこともあると述べています。</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