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sz w:val="48"/>
        </w:rPr>
        <w:t>これ一冊で基礎から完成！</w:t>
        <w:br/>
        <w:t>登録日本語教員試験</w:t>
        <w:br/>
        <w:t>パーフェクト問題集</w:t>
      </w:r>
    </w:p>
    <w:p>
      <w:pPr>
        <w:spacing w:after="150"/>
      </w:pPr>
      <w:r>
        <w:t>基礎から応用試験対策＋実戦演習〈全５００問〉</w:t>
      </w:r>
    </w:p>
    <w:p>
      <w:pPr>
        <w:spacing w:after="600"/>
      </w:pPr>
      <w:r>
        <w:rPr>
          <w:color w:val="555555"/>
          <w:sz w:val="20"/>
          <w:szCs w:val="20"/>
        </w:rPr>
        <w:t>厳選 全500問・各選択肢の詳細な解説付き</w:t>
      </w:r>
    </w:p>
    <w:p>
      <w:pPr>
        <w:pStyle w:val="Heading1"/>
        <w:keepNext/>
        <w:pageBreakBefore/>
        <w:spacing w:after="200" w:before="400"/>
      </w:pPr>
      <w:r>
        <w:t xml:space="preserve">はじめに</w:t>
      </w:r>
    </w:p>
    <w:p>
      <w:pPr>
        <w:spacing w:after="120"/>
      </w:pPr>
      <w:r>
        <w:t>本書を手に取っていただき、ありがとうございます。「日本語を教える仕事に挑戦したい」「これまでの経験を生かして、新しい一歩を踏み出したい」。そんな思いをもつ皆さんに、学習の道しるべとなる一冊を届けたいと考え、本書を編みました。</w:t>
      </w:r>
    </w:p>
    <w:p>
      <w:pPr>
        <w:spacing w:after="120"/>
      </w:pPr>
      <w:r>
        <w:t>日本語教師は、言葉を教えるとともに、日本語を学ぶ人の暮らしや学び、仕事への挑戦を支える仕事です。伝え方を工夫して相手に思いが届いたとき、学習者が「できた」と笑顔を見せてくれたとき。その小さな喜びの積み重ねが、教える側にとっても大きな力になります。</w:t>
      </w:r>
    </w:p>
    <w:p>
      <w:pPr>
        <w:spacing w:after="120"/>
      </w:pPr>
      <w:r>
        <w:t>試験勉強を始めると、初めて出会う用語や学ぶ範囲の広さに、戸惑うことがあるかもしれません。最初からすべてを理解しようとしなくても大丈夫です。一問ずつ取り組み、解説を読んで「なるほど」と思えることを増やしていきましょう。間違えた問題は、これから伸ばせる力を見つける手掛かりになります。</w:t>
      </w:r>
    </w:p>
    <w:p>
      <w:pPr>
        <w:spacing w:after="120"/>
      </w:pPr>
      <w:r>
        <w:t>本書は、文部科学省が公表する試験実施要項や養成課程の必須の教育内容を参考に、主要な学習分野を整理した独自の演習問題集です。基礎試験と応用試験〈読解〉の学習を、問題と解説を行き来しながら進められるよう構成しています。</w:t>
      </w:r>
    </w:p>
    <w:p>
      <w:pPr>
        <w:spacing w:after="120"/>
      </w:pPr>
      <w:r>
        <w:t>基礎試験編350問と応用試験編75問の計425問では、各分野の知識を確かめます。すべての問題に、正しい選択肢だけでなく、誤った選択肢の理由も添えました。「なぜこの答えになるのか」を言葉にできるようになることが、知識を結び付け、授業での判断を考える土台になります。</w:t>
      </w:r>
    </w:p>
    <w:p>
      <w:pPr>
        <w:spacing w:after="120"/>
      </w:pPr>
      <w:r>
        <w:t>巻末には、基礎60問・応用読解15問からなる総仕上げの短縮演習75問を収録しました。これは公式試験の問題数・試験時間・出題構成を再現する完全な模擬試験ではありません。過去の実際の試験の分析を重ね、予想問題としての実践的なレベルの問題集として構成しています。</w:t>
      </w:r>
    </w:p>
    <w:p>
      <w:pPr>
        <w:spacing w:after="120"/>
      </w:pPr>
      <w:r>
        <w:t>試験の実施要項、出題形式、受験資格などは変更される場合があります。受験にあたっては、受験時点で公表されている文部科学省の公式情報を確認してください。</w:t>
      </w:r>
    </w:p>
    <w:p>
      <w:pPr/>
      <w:r>
        <w:t>忙しい日には一問だけでも、時間のある日には一つの分野をじっくりと。ご自身のペースで続けてください。今ここから始める学びが、いつか目の前の学習者を支える力につながります。本書が、皆さんの挑戦に寄り添い、日本語教師を目指す一歩を後押しできれば幸いです。</w:t>
      </w:r>
    </w:p>
    <w:p>
      <w:pPr>
        <w:keepNext/>
        <w:pageBreakBefore/>
        <w:spacing w:after="320"/>
      </w:pPr>
      <w:r>
        <w:rPr>
          <w:b/>
          <w:color w:val="000000"/>
          <w:sz w:val="32"/>
        </w:rPr>
        <w:t>【著者について】</w:t>
      </w:r>
    </w:p>
    <w:p>
      <w:pPr>
        <w:keepNext/>
        <w:spacing w:after="280"/>
      </w:pPr>
      <w:r>
        <w:rPr>
          <w:b/>
          <w:sz w:val="26"/>
        </w:rPr>
        <w:t>全国【登録日本語教員試験】研究グループ</w:t>
      </w:r>
    </w:p>
    <w:p>
      <w:pPr>
        <w:spacing w:after="200"/>
      </w:pPr>
      <w:r>
        <w:t>全国【登録日本語教員試験】研究グループは、10年以上の経験をもつ全国のベテラン日本語教員が集まり、登録日本語教員試験の研究を続けるグループです。日本語教師を目指す方々の学びを支え、次の世代へ、教える仕事の魅力と現場で培った知見を伝えていきたい。その思いを活動の出発点としています。</w:t>
      </w:r>
    </w:p>
    <w:p>
      <w:pPr>
        <w:spacing w:after="200"/>
      </w:pPr>
      <w:r>
        <w:t>私たちが願うのは、後進となる方々が、確かな知識を身につけ、自分らしい教え方を育てながら、学習者と向き合えるようになることです。試験の学習を、合格を目指すためだけの勉強で終わらせず、学習者を理解し、授業を考える力へとつなげてほしいと考えています。</w:t>
      </w:r>
    </w:p>
    <w:p>
      <w:pPr>
        <w:spacing w:after="200"/>
      </w:pPr>
      <w:r>
        <w:t>そのために、試験で問われる内容や出題の傾向を研究するとともに、より効果的な教授法について考え続けています。これまでの経験にとどまらず、新しい考え方にも学び、これから教壇に立つ方々とともに成長していく姿勢を大切にしています。</w:t>
      </w:r>
    </w:p>
    <w:p>
      <w:pPr>
        <w:spacing w:after="200"/>
      </w:pPr>
      <w:r>
        <w:t>一人ひとりの日本語教師の学びが、目の前の学習者の可能性を広げ、やがて日本語教育全体の発展につながっていく。本書を通して、その歩みを少しでも支えられることを願っています。</w:t>
      </w:r>
    </w:p>
    <w:p>
      <w:pPr>
        <w:pStyle w:val="Heading1"/>
        <w:keepNext/>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ひと通り終わったら、巻末75問の短縮演習で知識と解答時間の感覚を確認する。聴解は音声付き教材で別途練習する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なお本書は学習の一助となることを目的としたオリジナル問題集です。制度や出題範囲については、受験時点で、必ず文部科学省や出入国在留管理庁など関係機関が公表する公式情報をご確認ください。</w:t>
      </w:r>
    </w:p>
    <w:p>
      <w:pPr>
        <w:pStyle w:val="Heading1"/>
        <w:keepNext/>
        <w:pageBreakBefore/>
        <w:spacing w:after="200" w:before="400"/>
      </w:pPr>
      <w:bookmarkStart w:name="TOC" w:id="1"/>
      <w:r>
        <w:t xml:space="preserve">目次</w:t>
      </w:r>
      <w:bookmarkEnd w:id="1"/>
    </w:p>
    <w:p>
      <w:pPr>
        <w:pStyle w:val="Heading2"/>
        <w:keepNext/>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keepNext/>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keepNext/>
        <w:spacing w:after="150" w:before="300"/>
      </w:pPr>
      <w:r>
        <w:t>第III部　実戦演習〈短縮版・75問〉（問題編）</w:t>
      </w:r>
    </w:p>
    <w:p>
      <w:pPr>
        <w:spacing w:after="60"/>
      </w:pPr>
      <w:r>
        <w:t>基礎60問＋応用読解15問（計75問・聴解なし）</w:t>
      </w:r>
    </w:p>
    <w:p>
      <w:pPr>
        <w:pStyle w:val="Heading2"/>
        <w:keepNext/>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keepNext/>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keepNext/>
        <w:pageBreakBefore/>
        <w:spacing w:after="200" w:before="400"/>
      </w:pPr>
      <w:r>
        <w:t xml:space="preserve">第I部　基礎試験編（問題編）</w:t>
      </w:r>
    </w:p>
    <w:p>
      <w:pPr>
        <w:pStyle w:val="Heading2"/>
        <w:keepNext/>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keepNext/>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2026年10月18日時点の各実施機関の公式説明に照らし、試験の目的・形式・評価方式について最も適切なものを一つ選べ。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2026年10月18日時点の日本語能力試験（JLPT）の公式FAQに照らし、最も適切なものを一つ選べ。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keepNext/>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4. 「謙譲語Ⅱ（丁重語）」は、基本的には自分側の行為・ものごとなどを、話や文章の相手に丁重に述べる。立てるのにふさわしい「向かう先」があってもなくても使うことができる。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keepNext/>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keepNext/>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1. 自身の過去の経験のみを絶対視し、新しい教育テクノロジーや第二言語習得理論の導入を意図的に避ける姿勢のことである。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keepNext/>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東京外国語大学の日本語発音教材の説明に照らし、日本語のアクセントとイントネーションの区別について、最も適切なものを一つ選びなさい。</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keepNext/>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keepNext/>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KAISETSU_ALL" w:id="558"/>
      <w:r>
        <w:t xml:space="preserve">解答・解説編</w:t>
      </w:r>
      <w:bookmarkEnd w:id="558"/>
    </w:p>
    <w:p>
      <w:pPr>
        <w:pStyle w:val="Heading2"/>
        <w:keepNext/>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keepNext/>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t>4（正）　制度の目的と施行日について、出入国在留管理庁が示した説明に合います。施行日については制度の経過を示す日付として扱い、受験時点の運用状況は公式資料で確認してください。</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rPr>
        <w:t>1（誤）</w:t>
      </w:r>
      <w:r>
        <w:t xml:space="preserve">　相手側や第三者の行為・ものごと・状態などについて、その人物を立てて述べるのは尊敬語です。謙譲語Ⅱ（丁重語）は、基本的には自分側の行為・ものごとなどを、話や文章の相手に丁重に述べます（例：「参ります」「いたします」）。行為者を立てる働きとは区別しま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rPr>
        <w:t>1（誤）</w:t>
      </w:r>
      <w:r>
        <w:t xml:space="preserve">　公式FAQは、原則として日本語を母語としない人の日本語能力を測定・認定する試験と説明します。大学院の論文執筆能力だけに目的を限定していません。</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rPr>
        <w:t>4（正）</w:t>
      </w:r>
      <w:r>
        <w:t xml:space="preserve">　公式FAQは、項目応答理論に基づく尺度得点方式を明記し、問題ごとの配点を合計する方式と区別しています。合否には総合得点の合格点と各得点区分の基準点の双方が関わります。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rPr>
        <w:t>2（正）</w:t>
      </w:r>
      <w:r>
        <w:t xml:space="preserve">　2026年度実施要項は、日本の大学等での勉学に対応する日本語力を目的とし、3領域の構成を示します。得点範囲は読解・聴解・聴読解が0～400点、記述が0～50点です。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rPr>
        <w:t>4（誤）</w:t>
      </w:r>
      <w:r>
        <w:t xml:space="preserve">　JASSOは、記述では尺度得点ではなく採点基準に基づく採点を行うと明記しています。読解等の尺度得点方式を記述にも一律に当てはめることはできません。</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rPr>
        <w:t>2（正）</w:t>
      </w:r>
      <w:r>
        <w:t xml:space="preserve">　同表は「vegetarianist」を造語の例に挙げています。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rPr>
        <w:t>2（誤）</w:t>
      </w:r>
      <w:r>
        <w:t xml:space="preserve">　行為の向かう先を立てるのは謙譲語Ⅰ（例：「伺う」「申し上げる」）です。謙譲語Ⅱは、話や文章の相手に丁重に述べる働きであり、両者は立てる対象と丁重に述べる相手を区別して考えます。</w:t>
      </w:r>
    </w:p>
    <w:p>
      <w:pPr>
        <w:keepNext/>
        <w:keepLines/>
        <w:spacing w:after="100"/>
      </w:pPr>
      <w:r>
        <w:rPr>
          <w:b/>
        </w:rPr>
        <w:t>3（誤）</w:t>
      </w:r>
      <w:r>
        <w:t xml:space="preserve">　話や文章の相手に丁重に述べるという中心的な働きは、謙譲語Ⅱの説明です。謙譲語Ⅰは、行為・ものごとなどの「向かう先」を立てます。この「向かう先」には、借りる物の出どころや、指導を受ける相手も含まれ、単なる動作の受け手に限りません。</w:t>
      </w:r>
    </w:p>
    <w:p>
      <w:pPr>
        <w:keepNext/>
        <w:keepLines/>
        <w:spacing w:after="100"/>
      </w:pPr>
      <w:r>
        <w:rPr>
          <w:b/>
        </w:rPr>
        <w:t>4（正）</w:t>
      </w:r>
      <w:r>
        <w:t xml:space="preserve">　指針18〜19頁の基本的な定義と、「向かう先」の有無に関する説明に対応します。「自分側」には家族なども含まれます。また、「バスが参りました」など、第三者や事物について話や文章の相手に丁重に述べる用法もあります。立てるべき人物の行為を「先生が参ります」のように述べてよいという意味ではありません。</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rPr>
        <w:t>4（正）</w:t>
      </w:r>
      <w:r>
        <w:t xml:space="preserve">　「行く」のタ形は例外的に「行った」となります。「く→いた」の規則を例外にも適用した「行いた」は、設問で示された学習済み規則の適用範囲を越えた例です。日本語例はRichardsの概念を用いて構成した架空の例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rPr>
        <w:t>4（正）</w:t>
      </w:r>
      <w:r>
        <w:t xml:space="preserve">　同論文13頁は、読解や聴解で文脈から推測することを補償ストラテジーに挙げています。本問では語の内部構造の分析や他者への質問などを除き、文脈を手掛かりに未知語の意味を推測する行動に限定しています。</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rPr>
        <w:t>1（正）</w:t>
      </w:r>
      <w:r>
        <w:t xml:space="preserve">　記事の「Focus on Form: At the end of the task cycle」に対応します。ここでは本人の記事の提案を問い、Prabhuの枠組みと一つにまとめたり、すべてのTBL授業で同じ手順が必須だとしたりはしません。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rPr>
        <w:t>2（誤）</w:t>
      </w:r>
      <w:r>
        <w:t xml:space="preserve">　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rPr>
        <w:t>1（誤）</w:t>
      </w:r>
      <w:r>
        <w:t xml:space="preserve">　授業中に、その授業の状況に働き掛けながら判断や行動を見直す点で「行為の中の省察」の例です。ただし原著62頁のaction-presentは、実践の単位によって長さが異なります。授業の終了時刻だけで両者を機械的に分ける趣旨ではありません。</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rPr>
        <w:t>4（正）</w:t>
      </w:r>
      <w:r>
        <w:t xml:space="preserve">　原著61頁は、経験した実践を後から振り返り、そのときの理解や判断を検討して将来の実践に備える場合を述べています。本問は終了した授業を振り返る架空の例です。記録を基に判断の理由を検討する点で、単なる記録や同じ手順の反復とは区別され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応用試験編　解説</w:t>
      </w:r>
    </w:p>
    <w:p>
      <w:pPr>
        <w:keepNext/>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rPr>
        <w:t>4（誤）</w:t>
      </w:r>
      <w:r>
        <w:t xml:space="preserve">　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rPr>
        <w:t>1（誤）</w:t>
      </w:r>
      <w:r>
        <w:t xml:space="preserve">　この枠組みは授業設計の観点を述べたもので、名称を付ければ学習者や課題の条件と無関係に全員に優越した効果が出るという保証ではありません。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指針第3章の「させていただく」の節が示す基本条件と一致します。条件を満たすかのように見立てる用法や、その許容度の個人差も説明されており、形式だけで一律に判断する趣旨ではありません。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keepNext/>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keepNext/>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line="276" w:lineRule="auto"/>
    </w:pPr>
    <w:rPr>
      <w:sz w:val="56"/>
      <w:szCs w:val="56"/>
    </w:rPr>
  </w:style>
  <w:style w:type="paragraph" w:styleId="Heading1">
    <w:name w:val="Heading 1"/>
    <w:basedOn w:val="Normal"/>
    <w:next w:val="Normal"/>
    <w:qFormat/>
    <w:pPr>
      <w:keepNext/>
      <w:spacing w:line="240" w:lineRule="auto"/>
    </w:pPr>
    <w:rPr>
      <w:rFonts w:ascii="Hiragino Sans" w:hAnsi="Hiragino Sans" w:eastAsia="Hiragino Sans"/>
      <w:color w:val="2E74B5"/>
      <w:sz w:val="32"/>
      <w:szCs w:val="32"/>
    </w:rPr>
  </w:style>
  <w:style w:type="paragraph" w:styleId="Heading2">
    <w:name w:val="Heading 2"/>
    <w:basedOn w:val="Normal"/>
    <w:next w:val="Normal"/>
    <w:qFormat/>
    <w:pPr>
      <w:keepNext/>
      <w:spacing w:line="240" w:lineRule="auto"/>
    </w:pPr>
    <w:rPr>
      <w:rFonts w:ascii="Hiragino Sans" w:hAnsi="Hiragino Sans" w:eastAsia="Hiragino Sans"/>
      <w:color w:val="2E74B5"/>
      <w:sz w:val="26"/>
      <w:szCs w:val="26"/>
    </w:rPr>
  </w:style>
  <w:style w:type="paragraph" w:styleId="Heading3">
    <w:name w:val="Heading 3"/>
    <w:basedOn w:val="Normal"/>
    <w:next w:val="Normal"/>
    <w:qFormat/>
    <w:pPr>
      <w:keepNext/>
      <w:spacing w:line="240" w:lineRule="auto"/>
    </w:pPr>
    <w:rPr>
      <w:rFonts w:ascii="Hiragino Sans" w:hAnsi="Hiragino Sans" w:eastAsia="Hiragino Sans"/>
      <w:color w:val="1F4D78"/>
      <w:sz w:val="24"/>
      <w:szCs w:val="24"/>
    </w:rPr>
  </w:style>
  <w:style w:type="paragraph" w:styleId="Heading4">
    <w:name w:val="Heading 4"/>
    <w:basedOn w:val="Normal"/>
    <w:next w:val="Normal"/>
    <w:qFormat/>
    <w:pPr>
      <w:keepNext/>
      <w:spacing w:line="240" w:lineRule="auto"/>
    </w:pPr>
    <w:rPr>
      <w:rFonts w:ascii="Hiragino Sans" w:hAnsi="Hiragino Sans" w:eastAsia="Hiragino Sans"/>
      <w:i/>
      <w:iCs/>
      <w:color w:val="2E74B5"/>
    </w:rPr>
  </w:style>
  <w:style w:type="paragraph" w:styleId="Heading5">
    <w:name w:val="Heading 5"/>
    <w:basedOn w:val="Normal"/>
    <w:next w:val="Normal"/>
    <w:qFormat/>
    <w:pPr>
      <w:keepNext/>
      <w:spacing w:line="240" w:lineRule="auto"/>
    </w:pPr>
    <w:rPr>
      <w:rFonts w:ascii="Hiragino Sans" w:hAnsi="Hiragino Sans" w:eastAsia="Hiragino Sans"/>
      <w:color w:val="2E74B5"/>
    </w:rPr>
  </w:style>
  <w:style w:type="paragraph" w:styleId="Heading6">
    <w:name w:val="Heading 6"/>
    <w:basedOn w:val="Normal"/>
    <w:next w:val="Normal"/>
    <w:qFormat/>
    <w:pPr>
      <w:keepNext/>
      <w:spacing w:line="240" w:lineRule="auto"/>
    </w:pPr>
    <w:rPr>
      <w:rFonts w:ascii="Hiragino Sans" w:hAnsi="Hiragino Sans" w:eastAsia="Hiragino Sans"/>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line="290" w:lineRule="exact" w:after="60"/>
    </w:pPr>
    <w:rPr>
      <w:rFonts w:ascii="Hiragino Mincho ProN" w:hAnsi="Hiragino Mincho ProN" w:eastAsia="Hiragino Mincho ProN" w:cs="Hiragino Mincho ProN"/>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これ一冊で基礎から完成！　登録日本語教員試験 パーフェクト問題集</dc:title>
  <dc:subject>基礎から応用試験対策＋実戦演習〈全５００問〉</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