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sz w:val="48"/>
        </w:rPr>
        <w:t>これ一冊で基礎から完成！</w:t>
        <w:br/>
        <w:t>登録日本語教員試験</w:t>
        <w:br/>
        <w:t>パーフェクト問題集</w:t>
      </w:r>
    </w:p>
    <w:p>
      <w:pPr>
        <w:spacing w:after="150"/>
      </w:pPr>
      <w:r>
        <w:t>基礎から応用試験対策＋実戦演習〈全５００問〉</w:t>
      </w:r>
    </w:p>
    <w:p>
      <w:pPr>
        <w:spacing w:after="600"/>
      </w:pPr>
      <w:r>
        <w:rPr>
          <w:color w:val="555555"/>
          <w:sz w:val="20"/>
          <w:szCs w:val="20"/>
        </w:rPr>
        <w:t>厳選 全500問・各選択肢の詳細な解説付き</w:t>
      </w:r>
    </w:p>
    <w:p>
      <w:pPr>
        <w:pStyle w:val="Heading1"/>
        <w:keepNext/>
        <w:pageBreakBefore/>
        <w:spacing w:after="200" w:before="400"/>
      </w:pPr>
      <w:r>
        <w:t xml:space="preserve">はじめに</w:t>
      </w:r>
    </w:p>
    <w:p>
      <w:pPr>
        <w:spacing w:after="120"/>
      </w:pPr>
      <w:r>
        <w:t>本書を手に取っていただき、ありがとうございます。「日本語を教える仕事に挑戦したい」「これまでの経験を生かして、新しい一歩を踏み出したい」。そんな思いをもつ皆さんに、学習の道しるべとなる一冊を届けたいと考え、本書を編みました。</w:t>
      </w:r>
    </w:p>
    <w:p>
      <w:pPr>
        <w:spacing w:after="120"/>
      </w:pPr>
      <w:r>
        <w:t>日本語教師は、言葉を教えるとともに、日本語を学ぶ人の暮らしや学び、仕事への挑戦を支える仕事です。伝え方を工夫して相手に思いが届いたとき、学習者が「できた」と笑顔を見せてくれたとき。その小さな喜びの積み重ねが、教える側にとっても大きな力になります。</w:t>
      </w:r>
    </w:p>
    <w:p>
      <w:pPr>
        <w:spacing w:after="120"/>
      </w:pPr>
      <w:r>
        <w:t>試験勉強を始めると、初めて出会う用語や学ぶ範囲の広さに、戸惑うことがあるかもしれません。最初からすべてを理解しようとしなくても大丈夫です。一問ずつ取り組み、解説を読んで「なるほど」と思えることを増やしていきましょう。間違えた問題は、これから伸ばせる力を見つける手掛かりになります。</w:t>
      </w:r>
    </w:p>
    <w:p>
      <w:pPr>
        <w:spacing w:after="120"/>
      </w:pPr>
      <w:r>
        <w:t>本書は、文部科学省が公表する試験実施要項や養成課程の必須の教育内容を参考に、主要な学習分野を整理した独自の演習問題集です。基礎試験と応用試験〈読解〉の学習を、問題と解説を行き来しながら進められるよう構成しています。</w:t>
      </w:r>
    </w:p>
    <w:p>
      <w:pPr>
        <w:spacing w:after="120"/>
      </w:pPr>
      <w:r>
        <w:t>基礎試験編350問と応用試験編75問の計425問では、各分野の知識を確かめます。すべての問題に、正しい選択肢だけでなく、誤った選択肢の理由も添えました。「なぜこの答えになるのか」を言葉にできるようになることが、知識を結び付け、授業での判断を考える土台になります。</w:t>
      </w:r>
    </w:p>
    <w:p>
      <w:pPr>
        <w:spacing w:after="120"/>
      </w:pPr>
      <w:r>
        <w:t>巻末には、基礎60問・応用読解15問からなる総仕上げの短縮演習75問を収録しました。これは公式試験の問題数・試験時間・出題構成を再現する完全な模擬試験ではありません。過去の実際の試験の分析を重ね、予想問題としての実践的なレベルの問題集として構成しています。</w:t>
      </w:r>
    </w:p>
    <w:p>
      <w:pPr>
        <w:spacing w:after="120"/>
      </w:pPr>
      <w:r>
        <w:t>試験の実施要項、出題形式、受験資格などは変更される場合があります。受験にあたっては、受験時点で公表されている文部科学省の公式情報を確認してください。</w:t>
      </w:r>
    </w:p>
    <w:p>
      <w:pPr/>
      <w:r>
        <w:t>忙しい日には一問だけでも、時間のある日には一つの分野をじっくりと。ご自身のペースで続けてください。今ここから始める学びが、いつか目の前の学習者を支える力につながります。本書が、皆さんの挑戦に寄り添い、日本語教師を目指す一歩を後押しできれば幸いです。</w:t>
      </w:r>
    </w:p>
    <w:p>
      <w:pPr>
        <w:keepNext/>
        <w:pageBreakBefore/>
        <w:spacing w:after="320"/>
      </w:pPr>
      <w:r>
        <w:rPr>
          <w:b/>
          <w:color w:val="000000"/>
          <w:sz w:val="32"/>
        </w:rPr>
        <w:t>【著者について】</w:t>
      </w:r>
    </w:p>
    <w:p>
      <w:pPr>
        <w:keepNext/>
        <w:spacing w:after="280"/>
      </w:pPr>
      <w:r>
        <w:rPr>
          <w:b/>
          <w:sz w:val="26"/>
        </w:rPr>
        <w:t>登録日本語教員試験対策研究会「いろは」</w:t>
      </w:r>
    </w:p>
    <w:p>
      <w:pPr>
        <w:spacing w:after="200"/>
      </w:pPr>
      <w:r>
        <w:t>豊富な指導経験をもった日本語教員が日々の課題を持ち寄り、切磋琢磨につとめる研究会。後進の育成と、さらなる効果的な教授法の開発を目指し、登録日本語教員試験の対策研究として、過去問題を分析し、予想問題をつくっている。</w:t>
      </w:r>
    </w:p>
    <w:p>
      <w:pPr>
        <w:pStyle w:val="Heading1"/>
        <w:keepNext/>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ひと通り終わったら、巻末75問の短縮演習で知識と解答時間の感覚を確認する。聴解は音声付き教材で別途練習する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なお本書は学習の一助となることを目的としたオリジナル問題集です。制度や出題範囲については、受験時点で、必ず文部科学省や出入国在留管理庁など関係機関が公表する公式情報をご確認ください。</w:t>
      </w:r>
    </w:p>
    <w:p>
      <w:pPr>
        <w:pStyle w:val="Heading1"/>
        <w:keepNext/>
        <w:pageBreakBefore/>
        <w:spacing w:after="200" w:before="400"/>
      </w:pPr>
      <w:bookmarkStart w:name="TOC" w:id="1"/>
      <w:r>
        <w:t xml:space="preserve">目次</w:t>
      </w:r>
      <w:bookmarkEnd w:id="1"/>
    </w:p>
    <w:p>
      <w:pPr>
        <w:pStyle w:val="Heading2"/>
        <w:keepNext/>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keepNext/>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keepNext/>
        <w:spacing w:after="150" w:before="300"/>
      </w:pPr>
      <w:r>
        <w:t>第III部　実戦演習〈短縮版・75問〉（問題編）</w:t>
      </w:r>
    </w:p>
    <w:p>
      <w:pPr>
        <w:spacing w:after="60"/>
      </w:pPr>
      <w:r>
        <w:t>基礎60問＋応用読解15問（計75問・聴解なし）</w:t>
      </w:r>
    </w:p>
    <w:p>
      <w:pPr>
        <w:pStyle w:val="Heading2"/>
        <w:keepNext/>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keepNext/>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keepNext/>
        <w:pageBreakBefore/>
        <w:spacing w:after="200" w:before="400"/>
      </w:pPr>
      <w:r>
        <w:t xml:space="preserve">第I部　基礎試験編（問題編）</w:t>
      </w:r>
    </w:p>
    <w:p>
      <w:pPr>
        <w:pStyle w:val="Heading2"/>
        <w:keepNext/>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keepNext/>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2026年10月18日時点の各実施機関の公式説明に照らし、試験の目的・形式・評価方式について最も適切なものを一つ選べ。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文部科学省が公開する「地域日本語教育コーディネーター研修」の案内に示された役割に照らし、最も適切な取組を一つ選びなさい。</w:t>
      </w:r>
    </w:p>
    <w:p>
      <w:pPr>
        <w:keepNext/>
        <w:keepLines/>
        <w:spacing w:after="60"/>
        <w:ind w:left="360"/>
      </w:pPr>
      <w:r>
        <w:t>1. 地域の課題と教育資源を把握し、関係者の協働を通じて生活者に合うプログラムづくりを進める。</w:t>
      </w:r>
    </w:p>
    <w:p>
      <w:pPr>
        <w:keepNext/>
        <w:keepLines/>
        <w:spacing w:after="60"/>
        <w:ind w:left="360"/>
      </w:pPr>
      <w:r>
        <w:t>2. 地域の課題と教育資源を把握し、その結果にかかわらず他地域のプログラムを同じ手順で導入する。</w:t>
      </w:r>
    </w:p>
    <w:p>
      <w:pPr>
        <w:keepNext/>
        <w:keepLines/>
        <w:spacing w:after="60"/>
        <w:ind w:left="360"/>
      </w:pPr>
      <w:r>
        <w:t>3. 地域教室の授業を担当し、組織間の調整はコーディネーターの役割に含めずに活動を進める。</w:t>
      </w:r>
    </w:p>
    <w:p>
      <w:pPr>
        <w:keepNext/>
        <w:keepLines/>
        <w:spacing w:after="60"/>
        <w:ind w:left="360"/>
      </w:pPr>
      <w:r>
        <w:t>4. 地域の教育資源を把握し、関係者が検討する課題を教室内の文法項目の配列だけに絞る。</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2026年10月18日時点の日本語能力試験（JLPT）の公式FAQに照らし、最も適切なものを一つ選べ。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keepNext/>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4. 「謙譲語Ⅱ（丁重語）」は、基本的には自分側の行為・ものごとなどを、話や文章の相手に丁重に述べる。立てるのにふさわしい「向かう先」があってもなくても使うことができる。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BrownとLevinson（1987）の理論では、指示や依頼は主として聞き手のどのようなフェイスを脅かす行為に挙げられるか。適切な説明を一つ選びなさい。</w:t>
      </w:r>
    </w:p>
    <w:p>
      <w:pPr>
        <w:keepNext/>
        <w:keepLines/>
        <w:spacing w:after="60"/>
        <w:ind w:left="360"/>
      </w:pPr>
      <w:r>
        <w:t>1. 自分の欲求を他者から望ましく思われたいという、聞き手のポジティブ・フェイスを脅かす。</w:t>
      </w:r>
    </w:p>
    <w:p>
      <w:pPr>
        <w:keepNext/>
        <w:keepLines/>
        <w:spacing w:after="60"/>
        <w:ind w:left="360"/>
      </w:pPr>
      <w:r>
        <w:t>2. 自分の行為を他者に妨げられたくないという、聞き手のポジティブ・フェイスを脅かす。</w:t>
      </w:r>
    </w:p>
    <w:p>
      <w:pPr>
        <w:keepNext/>
        <w:keepLines/>
        <w:spacing w:after="60"/>
        <w:ind w:left="360"/>
      </w:pPr>
      <w:r>
        <w:t>3. 自分の欲求を他者から望ましく思われたいという、聞き手のネガティブ・フェイスを脅かす。</w:t>
      </w:r>
    </w:p>
    <w:p>
      <w:pPr>
        <w:keepNext/>
        <w:keepLines/>
        <w:spacing w:after="60"/>
        <w:ind w:left="360"/>
      </w:pPr>
      <w:r>
        <w:t>4. 自分の行為を他者に妨げられたくないという、聞き手のネガティブ・フェイスを脅かす。</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keepNext/>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Squire（2004）の長期記憶の分類に照らし、事例と記憶の種類の組合せが適切なものを一つ選びなさい。</w:t>
      </w:r>
    </w:p>
    <w:p>
      <w:pPr>
        <w:keepNext/>
        <w:keepLines/>
        <w:spacing w:after="60"/>
        <w:ind w:left="360"/>
      </w:pPr>
      <w:r>
        <w:t>1. 世界について知っている事実を意識的に思い出すことは、非宣言的記憶に当たる。</w:t>
      </w:r>
    </w:p>
    <w:p>
      <w:pPr>
        <w:keepNext/>
        <w:keepLines/>
        <w:spacing w:after="60"/>
        <w:ind w:left="360"/>
      </w:pPr>
      <w:r>
        <w:t>2. 昨日の授業の出来事を、その時の状況とともに思い出すことは、意味記憶に当たる。</w:t>
      </w:r>
    </w:p>
    <w:p>
      <w:pPr>
        <w:keepNext/>
        <w:keepLines/>
        <w:spacing w:after="60"/>
        <w:ind w:left="360"/>
      </w:pPr>
      <w:r>
        <w:t>3. 以前の提示語の意図的な想起を求めない課題で現れる反復プライミングは、非宣言的記憶に当たる。</w:t>
      </w:r>
    </w:p>
    <w:p>
      <w:pPr>
        <w:keepNext/>
        <w:keepLines/>
        <w:spacing w:after="60"/>
        <w:ind w:left="360"/>
      </w:pPr>
      <w:r>
        <w:t>4. 単語の辞書的な意味など、世界についての一般的な知識は、エピソード記憶に当たる。</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Horwitz・Horwitz・Cope（1986）は、外国語教室不安と三つの関連する不安概念の関係をどのように捉えているか。最も適切なものを一つ選びなさい。</w:t>
      </w:r>
    </w:p>
    <w:p>
      <w:pPr>
        <w:keepNext/>
        <w:keepLines/>
        <w:spacing w:after="60"/>
        <w:ind w:left="360"/>
      </w:pPr>
      <w:r>
        <w:t>1. コミュニケーション不安、テスト不安、否定的評価への恐れを、そのまま足し合わせたものと捉える。</w:t>
      </w:r>
    </w:p>
    <w:p>
      <w:pPr>
        <w:keepNext/>
        <w:keepLines/>
        <w:spacing w:after="60"/>
        <w:ind w:left="360"/>
      </w:pPr>
      <w:r>
        <w:t>2. 三概念を説明の手がかりとしつつ、教室での言語学習に特有の自己認識・信念・感情・行動の複合体と捉える。</w:t>
      </w:r>
    </w:p>
    <w:p>
      <w:pPr>
        <w:keepNext/>
        <w:keepLines/>
        <w:spacing w:after="60"/>
        <w:ind w:left="360"/>
      </w:pPr>
      <w:r>
        <w:t>3. 教室で他者から評価される状況とは切り離し、言語学習以外でも一定して現れる性格特性と捉える。</w:t>
      </w:r>
    </w:p>
    <w:p>
      <w:pPr>
        <w:keepNext/>
        <w:keepLines/>
        <w:spacing w:after="60"/>
        <w:ind w:left="360"/>
      </w:pPr>
      <w:r>
        <w:t>4. コミュニケーション不安との関係は認めるが、テスト不安と否定的評価への恐れは説明に用いない。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keepNext/>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1. 自身の過去の経験のみを絶対視し、新しい教育テクノロジーや第二言語習得理論の導入を意図的に避ける姿勢のことである。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CambridgeのTKT公式用語集に示された、支援的な雰囲気（supportive atmosphere）の例に合う教師の対応を一つ選びなさい。</w:t>
      </w:r>
    </w:p>
    <w:p>
      <w:pPr>
        <w:keepNext/>
        <w:keepLines/>
        <w:spacing w:after="60"/>
        <w:ind w:left="360"/>
      </w:pPr>
      <w:r>
        <w:t>1. 学習者からの質問は教師だけが受け、学習者同士では助けを求めないように促す。</w:t>
      </w:r>
    </w:p>
    <w:p>
      <w:pPr>
        <w:keepNext/>
        <w:keepLines/>
        <w:spacing w:after="60"/>
        <w:ind w:left="360"/>
      </w:pPr>
      <w:r>
        <w:t>2. 学習者が互いに助け合い、分からないときは他者に助けを求められるように促す。</w:t>
      </w:r>
    </w:p>
    <w:p>
      <w:pPr>
        <w:keepNext/>
        <w:keepLines/>
        <w:spacing w:after="60"/>
        <w:ind w:left="360"/>
      </w:pPr>
      <w:r>
        <w:t>3. 教師と学習者の関係が良ければ十分と考え、学習者同士の助け合いは認めない。</w:t>
      </w:r>
    </w:p>
    <w:p>
      <w:pPr>
        <w:keepNext/>
        <w:keepLines/>
        <w:spacing w:after="60"/>
        <w:ind w:left="360"/>
      </w:pPr>
      <w:r>
        <w:t>4. 自力での解決を目標に掲げ、活動中に他者へ助けを求めることは控えるように促す。</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国際交流基金の2017年版ガイドブックに沿ってCan-doを授業設計に使う場合、最も適切な進め方を一つ選びなさい。</w:t>
      </w:r>
    </w:p>
    <w:p>
      <w:pPr>
        <w:keepNext/>
        <w:keepLines/>
        <w:spacing w:after="60"/>
        <w:ind w:left="360"/>
      </w:pPr>
      <w:r>
        <w:t>1. Can-doを選び、そのレベルの学習者が覚えるべき文法と漢字の全項目が記述されていると考える。</w:t>
      </w:r>
    </w:p>
    <w:p>
      <w:pPr>
        <w:keepNext/>
        <w:keepLines/>
        <w:spacing w:after="60"/>
        <w:ind w:left="360"/>
      </w:pPr>
      <w:r>
        <w:t>2. Can-doを目標に定め、その記述だけで必要な言語材料はそろうとして、語彙や文法の準備を省く。</w:t>
      </w:r>
    </w:p>
    <w:p>
      <w:pPr>
        <w:keepNext/>
        <w:keepLines/>
        <w:spacing w:after="60"/>
        <w:ind w:left="360"/>
      </w:pPr>
      <w:r>
        <w:t>3. 一つのCan-doを選び、目標の一貫性を保つため、他のレベルやカテゴリーの記述との比較を避ける。</w:t>
      </w:r>
    </w:p>
    <w:p>
      <w:pPr>
        <w:keepNext/>
        <w:keepLines/>
        <w:spacing w:after="60"/>
        <w:ind w:left="360"/>
      </w:pPr>
      <w:r>
        <w:t>4. 複数のCan-doを見比べて目標を検討し、現場のニーズに応じて必要な語彙や文法も準備する。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教師の質問が終わってから学習者の応答が始まるまでの間をA、学習者の応答が終わってから教師が再び話し始めるまでの間をBとする。Roweのウェイト・タイム1と2の区別に合うものを一つ選びなさい。</w:t>
      </w:r>
    </w:p>
    <w:p>
      <w:pPr>
        <w:keepNext/>
        <w:keepLines/>
        <w:spacing w:after="60"/>
        <w:ind w:left="360"/>
      </w:pPr>
      <w:r>
        <w:t>1. Aがウェイト・タイム2、Bがウェイト・タイム1に当たる。</w:t>
      </w:r>
    </w:p>
    <w:p>
      <w:pPr>
        <w:keepNext/>
        <w:keepLines/>
        <w:spacing w:after="60"/>
        <w:ind w:left="360"/>
      </w:pPr>
      <w:r>
        <w:t>2. AとBはいずれもウェイト・タイム1に当たり、位置では区別しない。</w:t>
      </w:r>
    </w:p>
    <w:p>
      <w:pPr>
        <w:keepNext/>
        <w:keepLines/>
        <w:spacing w:after="60"/>
        <w:ind w:left="360"/>
      </w:pPr>
      <w:r>
        <w:t>3. AとBを合計した時間がウェイト・タイム2に当たる。</w:t>
      </w:r>
    </w:p>
    <w:p>
      <w:pPr>
        <w:keepNext/>
        <w:keepLines/>
        <w:spacing w:after="60"/>
        <w:ind w:left="360"/>
      </w:pPr>
      <w:r>
        <w:t>4. Aがウェイト・タイム1、Bがウェイト・タイム2に当たる。</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Closings」の隣接ペアの基本形式に照らし、「質問―回答」という組合せについて適切な説明を一つ選びなさい。</w:t>
      </w:r>
    </w:p>
    <w:p>
      <w:pPr>
        <w:keepNext/>
        <w:keepLines/>
        <w:spacing w:after="60"/>
        <w:ind w:left="360"/>
      </w:pPr>
      <w:r>
        <w:t>1. 質問と回答は異なる話し手が産出し、先行する質問が、それに対応する回答という行為に関連する。</w:t>
      </w:r>
    </w:p>
    <w:p>
      <w:pPr>
        <w:keepNext/>
        <w:keepLines/>
        <w:spacing w:after="60"/>
        <w:ind w:left="360"/>
      </w:pPr>
      <w:r>
        <w:t>2. 質問と回答は同じ話し手が産出することを基本とし、異なる話し手のやり取りとは区別される。</w:t>
      </w:r>
    </w:p>
    <w:p>
      <w:pPr>
        <w:keepNext/>
        <w:keepLines/>
        <w:spacing w:after="60"/>
        <w:ind w:left="360"/>
      </w:pPr>
      <w:r>
        <w:t>3. 質問の後に別の話し手が発話すれば、その行為が何であっても回答とのペアが成立する。</w:t>
      </w:r>
    </w:p>
    <w:p>
      <w:pPr>
        <w:keepNext/>
        <w:keepLines/>
        <w:spacing w:after="60"/>
        <w:ind w:left="360"/>
      </w:pPr>
      <w:r>
        <w:t>4. 回答に当たる発話を先に置き、それに対応する質問を後に置くことが基本の順序となる。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Pomerantz（1984）の評価発話への応答の分析に照らし、会話分析の「選好」の説明として最も適切なものを一つ選びなさい。</w:t>
      </w:r>
    </w:p>
    <w:p>
      <w:pPr>
        <w:keepNext/>
        <w:keepLines/>
        <w:spacing w:after="60"/>
        <w:ind w:left="360"/>
      </w:pPr>
      <w:r>
        <w:t>1. 先行する行為の種類より、応答者がその内容を個人的に好きかどうかによって決まる。</w:t>
      </w:r>
    </w:p>
    <w:p>
      <w:pPr>
        <w:keepNext/>
        <w:keepLines/>
        <w:spacing w:after="60"/>
        <w:ind w:left="360"/>
      </w:pPr>
      <w:r>
        <w:t>2. 先行する行為との関係で捉えられ、自己卑下に同意する応答は非選好となる場合がある。</w:t>
      </w:r>
    </w:p>
    <w:p>
      <w:pPr>
        <w:keepNext/>
        <w:keepLines/>
        <w:spacing w:after="60"/>
        <w:ind w:left="360"/>
      </w:pPr>
      <w:r>
        <w:t>3. 評価への応答では同意が選好されるため、自己卑下に対する同意も同じように扱われる。</w:t>
      </w:r>
    </w:p>
    <w:p>
      <w:pPr>
        <w:keepNext/>
        <w:keepLines/>
        <w:spacing w:after="60"/>
        <w:ind w:left="360"/>
      </w:pPr>
      <w:r>
        <w:t>4. 応答が先行発話から遅れて始まれば、行為の種類にかかわらず選好される応答となる。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AERA・APA・NCMEの2014年版共同標準の用語定義に照らし、CBTとコンピュータ適応型テスト（CAT）の関係を適切に説明したものを一つ選びなさい。</w:t>
      </w:r>
    </w:p>
    <w:p>
      <w:pPr>
        <w:keepNext/>
        <w:keepLines/>
        <w:spacing w:after="60"/>
        <w:ind w:left="360"/>
      </w:pPr>
      <w:r>
        <w:t>1. CBTはコンピュータでの実施を指し、CATはそれに加えて過去の反応に応じた項目選択を行う。</w:t>
      </w:r>
    </w:p>
    <w:p>
      <w:pPr>
        <w:keepNext/>
        <w:keepLines/>
        <w:spacing w:after="60"/>
        <w:ind w:left="360"/>
      </w:pPr>
      <w:r>
        <w:t>2. CBTは過去の反応に応じた項目選択を指し、CATはコンピュータでの実施一般を指す。</w:t>
      </w:r>
    </w:p>
    <w:p>
      <w:pPr>
        <w:keepNext/>
        <w:keepLines/>
        <w:spacing w:after="60"/>
        <w:ind w:left="360"/>
      </w:pPr>
      <w:r>
        <w:t>3. 出題項目があらかじめ固定されているテストは、コンピュータで実施してもCBTには含まれない。</w:t>
      </w:r>
    </w:p>
    <w:p>
      <w:pPr>
        <w:keepNext/>
        <w:keepLines/>
        <w:spacing w:after="60"/>
        <w:ind w:left="360"/>
      </w:pPr>
      <w:r>
        <w:t>4. CATの適応性は画面表示の調節を意味し、過去の反応に応じた項目選択は定義に含まれない。</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keepNext/>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東京外国語大学の日本語発音教材の説明に照らし、日本語のアクセントとイントネーションの区別について、最も適切なものを一つ選びなさい。</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2025年12月22日内閣告示第4号「ローマ字のつづり方」の本表と添え書きに合うものを一つ選びなさい。</w:t>
      </w:r>
    </w:p>
    <w:p>
      <w:pPr>
        <w:keepNext/>
        <w:keepLines/>
        <w:spacing w:after="60"/>
        <w:ind w:left="360"/>
      </w:pPr>
      <w:r>
        <w:t>1. 本表の「し・ち・つ・ふ」はsi・ti・tu・huであり、長音は母音字の上の符号でも表せる。</w:t>
      </w:r>
    </w:p>
    <w:p>
      <w:pPr>
        <w:keepNext/>
        <w:keepLines/>
        <w:spacing w:after="60"/>
        <w:ind w:left="360"/>
      </w:pPr>
      <w:r>
        <w:t>2. 本表の「し・ち・つ・ふ」はshi・chi・tsu・fuであり、長音は現代仮名遣いに沿う母音字の並びでも表せる。</w:t>
      </w:r>
    </w:p>
    <w:p>
      <w:pPr>
        <w:keepNext/>
        <w:keepLines/>
        <w:spacing w:after="60"/>
        <w:ind w:left="360"/>
      </w:pPr>
      <w:r>
        <w:t>3. 本表の「し・ち・つ・ふ」はshi・chi・tsu・fuであり、長音を母音字の並びで表すことは認められない。</w:t>
      </w:r>
    </w:p>
    <w:p>
      <w:pPr>
        <w:keepNext/>
        <w:keepLines/>
        <w:spacing w:after="60"/>
        <w:ind w:left="360"/>
      </w:pPr>
      <w:r>
        <w:t>4. 本表の「し・ち・つ・ふ」はshi・chi・tsu・fuであり、長音を表す際に母音字の上へ符号を付けることはない。</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井上優「モダリティ」の例6で「ムードのタ」として挙げられる「あ、あった」「確か井上さんでしたっけ」の用法の組合せはどれか。</w:t>
      </w:r>
    </w:p>
    <w:p>
      <w:pPr>
        <w:keepNext/>
        <w:keepLines/>
        <w:spacing w:after="60"/>
        <w:ind w:left="360"/>
      </w:pPr>
      <w:r>
        <w:t>1. 前者は過去の習慣を報告し、後者は相手への行為の禁止を表す。</w:t>
      </w:r>
    </w:p>
    <w:p>
      <w:pPr>
        <w:keepNext/>
        <w:keepLines/>
        <w:spacing w:after="60"/>
        <w:ind w:left="360"/>
      </w:pPr>
      <w:r>
        <w:t>2. 前者はその場での発見を表し、後者は思い出しに関わる用法を表す。</w:t>
      </w:r>
    </w:p>
    <w:p>
      <w:pPr>
        <w:keepNext/>
        <w:keepLines/>
        <w:spacing w:after="60"/>
        <w:ind w:left="360"/>
      </w:pPr>
      <w:r>
        <w:t>3. 前者は過去の習慣を報告し、後者は思い出しに関わる用法を表す。</w:t>
      </w:r>
    </w:p>
    <w:p>
      <w:pPr>
        <w:keepNext/>
        <w:keepLines/>
        <w:spacing w:after="60"/>
        <w:ind w:left="360"/>
      </w:pPr>
      <w:r>
        <w:t>4. 前者はその場での発見を表し、後者は相手への行為の禁止を表す。</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keepNext/>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keepNext/>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KAISETSU_ALL" w:id="558"/>
      <w:r>
        <w:t xml:space="preserve">解答・解説編</w:t>
      </w:r>
      <w:bookmarkEnd w:id="558"/>
    </w:p>
    <w:p>
      <w:pPr>
        <w:pStyle w:val="Heading2"/>
        <w:keepNext/>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keepNext/>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t>4（正）　制度の目的と施行日について、出入国在留管理庁が示した説明に合います。施行日については制度の経過を示す日付として扱い、受験時点の運用状況は公式資料で確認してください。</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rPr>
        <w:t>1（正）</w:t>
      </w:r>
      <w:r>
        <w:t xml:space="preserve">　研修案内の五つの役割には、現状と課題の把握、資源の活用、課題解決の推進、組織内外の連携、生活者に合う方法の開発が含まれます。地域の状況を踏まえて関係者と進める取組が対応します。</w:t>
      </w:r>
    </w:p>
    <w:p>
      <w:pPr>
        <w:keepNext/>
        <w:keepLines/>
        <w:spacing w:after="100"/>
      </w:pPr>
      <w:r>
        <w:rPr>
          <w:b/>
        </w:rPr>
        <w:t>2（誤）</w:t>
      </w:r>
      <w:r>
        <w:t xml:space="preserve">　他地域の実践を参考にすることは考えられますが、把握した地域の課題や資源を反映しない導入では、課題に応じた資源の活用や方法の開発という役割に合いません。</w:t>
      </w:r>
    </w:p>
    <w:p>
      <w:pPr>
        <w:keepNext/>
        <w:keepLines/>
        <w:spacing w:after="100"/>
      </w:pPr>
      <w:r>
        <w:rPr>
          <w:b/>
        </w:rPr>
        <w:t>3（誤）</w:t>
      </w:r>
      <w:r>
        <w:t xml:space="preserve">　直接授業を担当する可能性は否定されません。しかし、案内は組織内外の調整と協働の推進も役割に含めており、それを除外する説明は不適切です。</w:t>
      </w:r>
    </w:p>
    <w:p>
      <w:pPr>
        <w:keepNext/>
        <w:keepLines/>
        <w:spacing w:after="100"/>
      </w:pPr>
      <w:r>
        <w:rPr>
          <w:b/>
        </w:rPr>
        <w:t>4（誤）</w:t>
      </w:r>
      <w:r>
        <w:t xml:space="preserve">　文法項目の配列を検討することがあっても、それだけが対象ではありません。案内は地域教室の状況、教育体制、組織間の連携なども課題として扱います。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rPr>
        <w:t>1（誤）</w:t>
      </w:r>
      <w:r>
        <w:t xml:space="preserve">　相手側や第三者の行為・ものごと・状態などについて、その人物を立てて述べるのは尊敬語です。謙譲語Ⅱ（丁重語）は、基本的には自分側の行為・ものごとなどを、話や文章の相手に丁重に述べます（例：「参ります」「いたします」）。行為者を立てる働きとは区別しま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rPr>
        <w:t>1（誤）</w:t>
      </w:r>
      <w:r>
        <w:t xml:space="preserve">　公式FAQは、原則として日本語を母語としない人の日本語能力を測定・認定する試験と説明します。大学院の論文執筆能力だけに目的を限定していません。</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rPr>
        <w:t>4（正）</w:t>
      </w:r>
      <w:r>
        <w:t xml:space="preserve">　公式FAQは、項目応答理論に基づく尺度得点方式を明記し、問題ごとの配点を合計する方式と区別しています。合否には総合得点の合格点と各得点区分の基準点の双方が関わります。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rPr>
        <w:t>2（正）</w:t>
      </w:r>
      <w:r>
        <w:t xml:space="preserve">　2026年度実施要項は、日本の大学等での勉学に対応する日本語力を目的とし、3領域の構成を示します。得点範囲は読解・聴解・聴読解が0～400点、記述が0～50点です。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rPr>
        <w:t>4（誤）</w:t>
      </w:r>
      <w:r>
        <w:t xml:space="preserve">　JASSOは、記述では尺度得点ではなく採点基準に基づく採点を行うと明記しています。読解等の尺度得点方式を記述にも一律に当てはめることはできません。</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rPr>
        <w:t>2（正）</w:t>
      </w:r>
      <w:r>
        <w:t xml:space="preserve">　同表は「vegetarianist」を造語の例に挙げています。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rPr>
        <w:t>2（誤）</w:t>
      </w:r>
      <w:r>
        <w:t xml:space="preserve">　行為の向かう先を立てるのは謙譲語Ⅰ（例：「伺う」「申し上げる」）です。謙譲語Ⅱは、話や文章の相手に丁重に述べる働きであり、両者は立てる対象と丁重に述べる相手を区別して考えます。</w:t>
      </w:r>
    </w:p>
    <w:p>
      <w:pPr>
        <w:keepNext/>
        <w:keepLines/>
        <w:spacing w:after="100"/>
      </w:pPr>
      <w:r>
        <w:rPr>
          <w:b/>
        </w:rPr>
        <w:t>3（誤）</w:t>
      </w:r>
      <w:r>
        <w:t xml:space="preserve">　話や文章の相手に丁重に述べるという中心的な働きは、謙譲語Ⅱの説明です。謙譲語Ⅰは、行為・ものごとなどの「向かう先」を立てます。この「向かう先」には、借りる物の出どころや、指導を受ける相手も含まれ、単なる動作の受け手に限りません。</w:t>
      </w:r>
    </w:p>
    <w:p>
      <w:pPr>
        <w:keepNext/>
        <w:keepLines/>
        <w:spacing w:after="100"/>
      </w:pPr>
      <w:r>
        <w:rPr>
          <w:b/>
        </w:rPr>
        <w:t>4（正）</w:t>
      </w:r>
      <w:r>
        <w:t xml:space="preserve">　指針18〜19頁の基本的な定義と、「向かう先」の有無に関する説明に対応します。「自分側」には家族なども含まれます。また、「バスが参りました」など、第三者や事物について話や文章の相手に丁重に述べる用法もあります。立てるべき人物の行為を「先生が参ります」のように述べてよいという意味ではありません。</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rPr>
        <w:t>1（誤）</w:t>
      </w:r>
      <w:r>
        <w:t xml:space="preserve">　欲求を他者から望ましく思われたいという説明は、ポジティブ・フェイスに関わります。ただし、原著の分類で指示や依頼が主として脅かすのは、聞き手の行動の自由に関わる側面です。</w:t>
      </w:r>
    </w:p>
    <w:p>
      <w:pPr>
        <w:keepNext/>
        <w:keepLines/>
        <w:spacing w:after="100"/>
      </w:pPr>
      <w:r>
        <w:rPr>
          <w:b/>
        </w:rPr>
        <w:t>2（誤）</w:t>
      </w:r>
      <w:r>
        <w:t xml:space="preserve">　行為を妨げられたくないという欲求は、ネガティブ・フェイスです。説明する欲求とフェイスの名称が対応していません。</w:t>
      </w:r>
    </w:p>
    <w:p>
      <w:pPr>
        <w:keepNext/>
        <w:keepLines/>
        <w:spacing w:after="100"/>
      </w:pPr>
      <w:r>
        <w:rPr>
          <w:b/>
        </w:rPr>
        <w:t>3（誤）</w:t>
      </w:r>
      <w:r>
        <w:t xml:space="preserve">　欲求を他者から望ましく思われたいという側面は、ポジティブ・フェイスです。ネガティブ・フェイスとの名称を取り違えています。</w:t>
      </w:r>
    </w:p>
    <w:p>
      <w:pPr>
        <w:keepNext/>
        <w:keepLines/>
        <w:spacing w:after="100"/>
      </w:pPr>
      <w:r>
        <w:rPr>
          <w:b/>
        </w:rPr>
        <w:t>4（正）</w:t>
      </w:r>
      <w:r>
        <w:t xml:space="preserve">　再録本文312頁の定義と313頁の分類に対応します。指示や依頼は聞き手の将来の行為に圧力をかけるとされます。ただし314頁は、一つの行為が両方のフェイスを脅かす場合も認めています。</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rPr>
        <w:t>1（誤）</w:t>
      </w:r>
      <w:r>
        <w:t xml:space="preserve">　原著173頁の分類図では、事実を意識的に思い出す記憶は宣言的記憶の側に位置付けられます。非宣言的記憶との対応を取り違えています。</w:t>
      </w:r>
    </w:p>
    <w:p>
      <w:pPr>
        <w:keepNext/>
        <w:keepLines/>
        <w:spacing w:after="100"/>
      </w:pPr>
      <w:r>
        <w:rPr>
          <w:b/>
        </w:rPr>
        <w:t>2（誤）</w:t>
      </w:r>
      <w:r>
        <w:t xml:space="preserve">　出来事をその時の状況とともに思い出す記憶は、エピソード記憶に対応します。世界についての事実の知識を扱う意味記憶とは区別されます。</w:t>
      </w:r>
    </w:p>
    <w:p>
      <w:pPr>
        <w:keepNext/>
        <w:keepLines/>
        <w:spacing w:after="100"/>
      </w:pPr>
      <w:r>
        <w:rPr>
          <w:b/>
        </w:rPr>
        <w:t>3（正）</w:t>
      </w:r>
      <w:r>
        <w:t xml:space="preserve">　原著172〜173頁はプライミングを非宣言的記憶に位置付け、課題の教示の重要性を述べています。単語補完の形式だけで分類せず、以前の語を意識的に想起するよう求める課題と区別します。</w:t>
      </w:r>
    </w:p>
    <w:p>
      <w:pPr>
        <w:keepNext/>
        <w:keepLines/>
        <w:spacing w:after="100"/>
      </w:pPr>
      <w:r>
        <w:rPr>
          <w:b/>
        </w:rPr>
        <w:t>4（誤）</w:t>
      </w:r>
      <w:r>
        <w:t xml:space="preserve">　辞書的な意味などの一般的な知識は、意味記憶に対応します。特定の出来事とその状況を思い出すエピソード記憶との対応を逆にしています。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rPr>
        <w:t>4（正）</w:t>
      </w:r>
      <w:r>
        <w:t xml:space="preserve">　「行く」のタ形は例外的に「行った」となります。「く→いた」の規則を例外にも適用した「行いた」は、設問で示された学習済み規則の適用範囲を越えた例です。日本語例はRichardsの概念を用いて構成した架空の例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rPr>
        <w:t>4（正）</w:t>
      </w:r>
      <w:r>
        <w:t xml:space="preserve">　同論文13頁は、読解や聴解で文脈から推測することを補償ストラテジーに挙げています。本問では語の内部構造の分析や他者への質問などを除き、文脈を手掛かりに未知語の意味を推測する行動に限定しています。</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rPr>
        <w:t>1（誤）</w:t>
      </w:r>
      <w:r>
        <w:t xml:space="preserve">　原著128頁は、三つの不安を外国語学習へ移した単純な組合せではないと明記しています。関連概念との関係と、外国語教室不安の定義を区別する必要があります。</w:t>
      </w:r>
    </w:p>
    <w:p>
      <w:pPr>
        <w:keepNext/>
        <w:keepLines/>
        <w:spacing w:after="100"/>
      </w:pPr>
      <w:r>
        <w:rPr>
          <w:b/>
        </w:rPr>
        <w:t>2（正）</w:t>
      </w:r>
      <w:r>
        <w:t xml:space="preserve">　原著127〜128頁の説明に対応します。三概念を説明の手がかりとしながら、言語学習過程の独自性から生じる複合体として捉えています。三つの確定した下位尺度が定義されるという意味ではありません。</w:t>
      </w:r>
    </w:p>
    <w:p>
      <w:pPr>
        <w:keepNext/>
        <w:keepLines/>
        <w:spacing w:after="100"/>
      </w:pPr>
      <w:r>
        <w:rPr>
          <w:b/>
        </w:rPr>
        <w:t>3（誤）</w:t>
      </w:r>
      <w:r>
        <w:t xml:space="preserve">　原著は教室での言語学習に関連する不安を扱います。状況を切り離して一般的な性格特性だけに限定する説明は、この捉え方に合いません。</w:t>
      </w:r>
    </w:p>
    <w:p>
      <w:pPr>
        <w:keepNext/>
        <w:keepLines/>
        <w:spacing w:after="100"/>
      </w:pPr>
      <w:r>
        <w:rPr>
          <w:b/>
        </w:rPr>
        <w:t>4（誤）</w:t>
      </w:r>
      <w:r>
        <w:t xml:space="preserve">　原著127〜128頁では、コミュニケーション不安だけでなく、テスト不安と否定的評価への恐れも関連概念として論じています。後二者を説明から排除することはできません。</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rPr>
        <w:t>1（誤）</w:t>
      </w:r>
      <w:r>
        <w:t xml:space="preserve">　用語集の例は、学習者同士が助け合い、他者に助けを求めることを促しています。援助の相手を教師だけに限定する対応とは異なります。</w:t>
      </w:r>
    </w:p>
    <w:p>
      <w:pPr>
        <w:keepNext/>
        <w:keepLines/>
        <w:spacing w:after="100"/>
      </w:pPr>
      <w:r>
        <w:rPr>
          <w:b/>
        </w:rPr>
        <w:t>2（正）</w:t>
      </w:r>
      <w:r>
        <w:t xml:space="preserve">　用語集のSupportiveの項目は、援助や励ましを与えることを説明し、教師が学習者同士の援助や助けを求めることを促す例を挙げています。本問はこの例との対応を問います。</w:t>
      </w:r>
    </w:p>
    <w:p>
      <w:pPr>
        <w:keepNext/>
        <w:keepLines/>
        <w:spacing w:after="100"/>
      </w:pPr>
      <w:r>
        <w:rPr>
          <w:b/>
        </w:rPr>
        <w:t>3（誤）</w:t>
      </w:r>
      <w:r>
        <w:t xml:space="preserve">　Rapportは教師と学習者の関係に関わる概念ですが、その関係が良ければ学習者同士の援助を認めなくてよいという意味ではありません。Supportiveの項目の例には合いません。</w:t>
      </w:r>
    </w:p>
    <w:p>
      <w:pPr>
        <w:keepNext/>
        <w:keepLines/>
        <w:spacing w:after="100"/>
      </w:pPr>
      <w:r>
        <w:rPr>
          <w:b/>
        </w:rPr>
        <w:t>4（誤）</w:t>
      </w:r>
      <w:r>
        <w:t xml:space="preserve">　自力で取り組む場面を設けること自体を否定するものではありません。ただし、助けを求めることを控えさせる対応は、本問が指定する用語集の例とは異なります。</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rPr>
        <w:t>1（正）</w:t>
      </w:r>
      <w:r>
        <w:t xml:space="preserve">　記事の「Focus on Form: At the end of the task cycle」に対応します。ここでは本人の記事の提案を問い、Prabhuの枠組みと一つにまとめたり、すべてのTBL授業で同じ手順が必須だとしたりはしません。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rPr>
        <w:t>2（誤）</w:t>
      </w:r>
      <w:r>
        <w:t xml:space="preserve">　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rPr>
        <w:t>1（誤）</w:t>
      </w:r>
      <w:r>
        <w:t xml:space="preserve">　ガイドブック14頁はCan-doを、ある段階でできる言語活動や持っている言語能力の例として説明しています。18頁も網羅的なものではないとしており、文法や漢字の全項目の一覧とは扱えません。</w:t>
      </w:r>
    </w:p>
    <w:p>
      <w:pPr>
        <w:keepNext/>
        <w:keepLines/>
        <w:spacing w:after="100"/>
      </w:pPr>
      <w:r>
        <w:rPr>
          <w:b/>
        </w:rPr>
        <w:t>2（誤）</w:t>
      </w:r>
      <w:r>
        <w:t xml:space="preserve">　18頁は、実際の教育活動に必要な語彙や文法項目などの言語材料を各現場で準備するよう求めています。Can-doの目標設定だけでその準備が不要になるわけではありません。</w:t>
      </w:r>
    </w:p>
    <w:p>
      <w:pPr>
        <w:keepNext/>
        <w:keepLines/>
        <w:spacing w:after="100"/>
      </w:pPr>
      <w:r>
        <w:rPr>
          <w:b/>
        </w:rPr>
        <w:t>3（誤）</w:t>
      </w:r>
      <w:r>
        <w:t xml:space="preserve">　18頁は、レベルやカテゴリーをまたいで複数のCan-doを見比べることを重視しています。比較を避けるという進め方は、この留意点と逆です。</w:t>
      </w:r>
    </w:p>
    <w:p>
      <w:pPr>
        <w:keepNext/>
        <w:keepLines/>
        <w:spacing w:after="100"/>
      </w:pPr>
      <w:r>
        <w:rPr>
          <w:b/>
        </w:rPr>
        <w:t>4（正）</w:t>
      </w:r>
      <w:r>
        <w:t xml:space="preserve">　18頁の留意点に対応します。Can-doの例示を比較し、各現場のニーズや目的に応じて言語材料や記述されていない能力も検討します。既存の記述をそのまま使うことだけが方法ではありません。</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rPr>
        <w:t>1（誤）</w:t>
      </w:r>
      <w:r>
        <w:t xml:space="preserve">　二つの名称を逆にしています。教師の質問後の間がウェイト・タイム1で、学習者の応答後の間がウェイト・タイム2です。</w:t>
      </w:r>
    </w:p>
    <w:p>
      <w:pPr>
        <w:keepNext/>
        <w:keepLines/>
        <w:spacing w:after="100"/>
      </w:pPr>
      <w:r>
        <w:rPr>
          <w:b/>
        </w:rPr>
        <w:t>2（誤）</w:t>
      </w:r>
      <w:r>
        <w:t xml:space="preserve">　二つの間は、質問・応答のやり取りのどこに置かれるかによって区別されます。どちらもウェイト・タイム1とする説明は適切ではありません。</w:t>
      </w:r>
    </w:p>
    <w:p>
      <w:pPr>
        <w:keepNext/>
        <w:keepLines/>
        <w:spacing w:after="100"/>
      </w:pPr>
      <w:r>
        <w:rPr>
          <w:b/>
        </w:rPr>
        <w:t>3（誤）</w:t>
      </w:r>
      <w:r>
        <w:t xml:space="preserve">　ウェイト・タイム2は、学習者の応答後に置かれる間です。質問後の間との合計時間を指す名称ではありません。</w:t>
      </w:r>
    </w:p>
    <w:p>
      <w:pPr>
        <w:keepNext/>
        <w:keepLines/>
        <w:spacing w:after="100"/>
      </w:pPr>
      <w:r>
        <w:rPr>
          <w:b/>
        </w:rPr>
        <w:t>4（正）</w:t>
      </w:r>
      <w:r>
        <w:t xml:space="preserve">　Roweの区別に対応します。1は教師の質問後、2は学習者の応答後の間です。本問は間の位置を問い、どの授業でも同じ秒数が最適だという主張はしていません。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rPr>
        <w:t>1（誤）</w:t>
      </w:r>
      <w:r>
        <w:t xml:space="preserve">　授業中に、その授業の状況に働き掛けながら判断や行動を見直す点で「行為の中の省察」の例です。ただし原著62頁のaction-presentは、実践の単位によって長さが異なります。授業の終了時刻だけで両者を機械的に分ける趣旨ではありません。</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rPr>
        <w:t>4（正）</w:t>
      </w:r>
      <w:r>
        <w:t xml:space="preserve">　原著61頁は、経験した実践を後から振り返り、そのときの理解や判断を検討して将来の実践に備える場合を述べています。本問は終了した授業を振り返る架空の例です。記録を基に判断の理由を検討する点で、単なる記録や同じ手順の反復とは区別され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rPr>
        <w:t>1（正）</w:t>
      </w:r>
      <w:r>
        <w:t xml:space="preserve">　再録版74頁は、異なる話し手による二つの部分、部分の相対的順序、行為の組合せを示しています。「質問―回答」はその例であり、単なる二発話の近接とは区別されます。</w:t>
      </w:r>
    </w:p>
    <w:p>
      <w:pPr>
        <w:keepNext/>
        <w:keepLines/>
        <w:spacing w:after="100"/>
      </w:pPr>
      <w:r>
        <w:rPr>
          <w:b/>
        </w:rPr>
        <w:t>2（誤）</w:t>
      </w:r>
      <w:r>
        <w:t xml:space="preserve">　基本形式では、二つの部分を異なる話し手が産出します。同じ話し手が両方を産出することを基本とする説明は、指定された形式に合いません。</w:t>
      </w:r>
    </w:p>
    <w:p>
      <w:pPr>
        <w:keepNext/>
        <w:keepLines/>
        <w:spacing w:after="100"/>
      </w:pPr>
      <w:r>
        <w:rPr>
          <w:b/>
        </w:rPr>
        <w:t>3（誤）</w:t>
      </w:r>
      <w:r>
        <w:t xml:space="preserve">　第1部分と第2部分には行為上の関連があります。別の話し手が次に発話したという位置関係だけで、それを質問に対応する回答とみなすことはできません。</w:t>
      </w:r>
    </w:p>
    <w:p>
      <w:pPr>
        <w:keepNext/>
        <w:keepLines/>
        <w:spacing w:after="100"/>
      </w:pPr>
      <w:r>
        <w:rPr>
          <w:b/>
        </w:rPr>
        <w:t>4（誤）</w:t>
      </w:r>
      <w:r>
        <w:t xml:space="preserve">　基本の順序は第1部分が先、第2部分が後です。「質問―回答」の組合せで、対応する回答を先に置くことを基本とする説明は順序を逆にしています。</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rPr>
        <w:t>1（誤）</w:t>
      </w:r>
      <w:r>
        <w:t xml:space="preserve">　原著の選好は、先行する行為と応答、および応答の組み立てとの関係を扱います。応答者の個人的な好き嫌いだけで決めるという意味ではありません。</w:t>
      </w:r>
    </w:p>
    <w:p>
      <w:pPr>
        <w:keepNext/>
        <w:keepLines/>
        <w:spacing w:after="100"/>
      </w:pPr>
      <w:r>
        <w:rPr>
          <w:b/>
        </w:rPr>
        <w:t>2（正）</w:t>
      </w:r>
      <w:r>
        <w:t xml:space="preserve">　原著64頁は、どの応答が選好されるかは先行する行為にも関わるとし、自己卑下への同意が非選好となる例を挙げています。同意と選好を常に同一視しないことが要点です。</w:t>
      </w:r>
    </w:p>
    <w:p>
      <w:pPr>
        <w:keepNext/>
        <w:keepLines/>
        <w:spacing w:after="100"/>
      </w:pPr>
      <w:r>
        <w:rPr>
          <w:b/>
        </w:rPr>
        <w:t>3（誤）</w:t>
      </w:r>
      <w:r>
        <w:t xml:space="preserve">　原著64頁は、自己卑下の後では通常の同意への選好が働かない場合を示しています。評価発話への応答をすべて同じ同意優先の形で扱う説明は適切ではありません。</w:t>
      </w:r>
    </w:p>
    <w:p>
      <w:pPr>
        <w:keepNext/>
        <w:keepLines/>
        <w:spacing w:after="100"/>
      </w:pPr>
      <w:r>
        <w:rPr>
          <w:b/>
        </w:rPr>
        <w:t>4（誤）</w:t>
      </w:r>
      <w:r>
        <w:t xml:space="preserve">　原著64〜65頁では、遅れは非選好の応答の組み立てに関わる特徴として論じられています。遅れて始まるという一点から、すべての行為について選好されると判断する説明は誤りです。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rPr>
        <w:t>1（正）</w:t>
      </w:r>
      <w:r>
        <w:t xml:space="preserve">　共同標準217頁はコンピュータで実施するテストとCATを区別し、215頁は適応型テストを過去の反応に応じた項目や項目群の選択として説明しています。選択には項目の測定特性や内容も考慮されます。</w:t>
      </w:r>
    </w:p>
    <w:p>
      <w:pPr>
        <w:keepNext/>
        <w:keepLines/>
        <w:spacing w:after="100"/>
      </w:pPr>
      <w:r>
        <w:rPr>
          <w:b/>
        </w:rPr>
        <w:t>2（誤）</w:t>
      </w:r>
      <w:r>
        <w:t xml:space="preserve">　コンピュータでの実施一般に対応するのがCBTです。過去の反応に応じて項目を選ぶ適応型の仕組みと、CBTの関係を取り違えています。</w:t>
      </w:r>
    </w:p>
    <w:p>
      <w:pPr>
        <w:keepNext/>
        <w:keepLines/>
        <w:spacing w:after="100"/>
      </w:pPr>
      <w:r>
        <w:rPr>
          <w:b/>
        </w:rPr>
        <w:t>3（誤）</w:t>
      </w:r>
      <w:r>
        <w:t xml:space="preserve">　217頁のCBTの定義は、反応に応じた出題変更を必須としていません。項目が固定されていても、コンピュータで実施するテストであればCBTに含まれます。</w:t>
      </w:r>
    </w:p>
    <w:p>
      <w:pPr>
        <w:keepNext/>
        <w:keepLines/>
        <w:spacing w:after="100"/>
      </w:pPr>
      <w:r>
        <w:rPr>
          <w:b/>
        </w:rPr>
        <w:t>4（誤）</w:t>
      </w:r>
      <w:r>
        <w:t xml:space="preserve">　215・217頁の定義でいう適応性は、過去の反応に応じた項目などの選択に関わります。画面表示を調節する機能だけをCATと呼ぶという意味ではありません。</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rPr>
        <w:t>1（誤）</w:t>
      </w:r>
      <w:r>
        <w:t xml:space="preserve">　長音を符号で表す方法は示されていますが、本表の「し・ち・つ・ふ」はshi・chi・tsu・fuです。si・ti・tu・huを本表のつづりとする点が誤りです。</w:t>
      </w:r>
    </w:p>
    <w:p>
      <w:pPr>
        <w:keepNext/>
        <w:keepLines/>
        <w:spacing w:after="100"/>
      </w:pPr>
      <w:r>
        <w:rPr>
          <w:b/>
        </w:rPr>
        <w:t>2（正）</w:t>
      </w:r>
      <w:r>
        <w:t xml:space="preserve">　本表と添え書き3に対応します。長音は母音字の上の符号で表すほか、現代仮名遣いと同様に母音字を並べてもよいとされています。符号にはマクロンが示され、必要な場合にはサーカムフレックスも使えます。</w:t>
      </w:r>
    </w:p>
    <w:p>
      <w:pPr>
        <w:keepNext/>
        <w:keepLines/>
        <w:spacing w:after="100"/>
      </w:pPr>
      <w:r>
        <w:rPr>
          <w:b/>
        </w:rPr>
        <w:t>3（誤）</w:t>
      </w:r>
      <w:r>
        <w:t xml:space="preserve">　本表の四つのつづりは適切ですが、長音の説明が誤りです。添え書き3は、現代仮名遣いに沿って母音字を並べる方法も認めています。</w:t>
      </w:r>
    </w:p>
    <w:p>
      <w:pPr>
        <w:keepNext/>
        <w:keepLines/>
        <w:spacing w:after="100"/>
      </w:pPr>
      <w:r>
        <w:rPr>
          <w:b/>
        </w:rPr>
        <w:t>4（誤）</w:t>
      </w:r>
      <w:r>
        <w:t xml:space="preserve">　本表の四つのつづりは適切ですが、長音の説明が誤りです。添え書き3は、母音字の上に符号を付ける方法を示しています。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rPr>
        <w:t>1（誤）</w:t>
      </w:r>
      <w:r>
        <w:t xml:space="preserve">　例6の「あ、あった」は発見、「確か井上さんでしたっけ」は思い出しの例です。過去の習慣の報告と行為の禁止という組合せには対応しません。</w:t>
      </w:r>
    </w:p>
    <w:p>
      <w:pPr>
        <w:keepNext/>
        <w:keepLines/>
        <w:spacing w:after="100"/>
      </w:pPr>
      <w:r>
        <w:rPr>
          <w:b/>
        </w:rPr>
        <w:t>2（正）</w:t>
      </w:r>
      <w:r>
        <w:t xml:space="preserve">　同資料134頁の例6に対応します。ここでは、発見と思い出しを「ムードのタ」の例として示しています。タ形のすべての用法をこの二つに限定する説明ではありません。</w:t>
      </w:r>
    </w:p>
    <w:p>
      <w:pPr>
        <w:keepNext/>
        <w:keepLines/>
        <w:spacing w:after="100"/>
      </w:pPr>
      <w:r>
        <w:rPr>
          <w:b/>
        </w:rPr>
        <w:t>3（誤）</w:t>
      </w:r>
      <w:r>
        <w:t xml:space="preserve">　後者を思い出しとする点は対応しますが、前者は過去の習慣の報告ではなく、同資料で発見の例として示されています。</w:t>
      </w:r>
    </w:p>
    <w:p>
      <w:pPr>
        <w:keepNext/>
        <w:keepLines/>
        <w:spacing w:after="100"/>
      </w:pPr>
      <w:r>
        <w:rPr>
          <w:b/>
        </w:rPr>
        <w:t>4（誤）</w:t>
      </w:r>
      <w:r>
        <w:t xml:space="preserve">　前者を発見とする点は対応しますが、後者は思い出しの例です。相手の行為を禁止する用法として挙げられているわけではありません。</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応用試験編　解説</w:t>
      </w:r>
    </w:p>
    <w:p>
      <w:pPr>
        <w:keepNext/>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rPr>
        <w:t>4（誤）</w:t>
      </w:r>
      <w:r>
        <w:t xml:space="preserve">　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rPr>
        <w:t>1（誤）</w:t>
      </w:r>
      <w:r>
        <w:t xml:space="preserve">　この枠組みは授業設計の観点を述べたもので、名称を付ければ学習者や課題の条件と無関係に全員に優越した効果が出るという保証ではありません。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指針第3章の「させていただく」の節が示す基本条件と一致します。条件を満たすかのように見立てる用法や、その許容度の個人差も説明されており、形式だけで一律に判断する趣旨ではありません。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keepNext/>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keepNext/>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line="276" w:lineRule="auto"/>
    </w:pPr>
    <w:rPr>
      <w:sz w:val="56"/>
      <w:szCs w:val="56"/>
    </w:rPr>
  </w:style>
  <w:style w:type="paragraph" w:styleId="Heading1">
    <w:name w:val="Heading 1"/>
    <w:basedOn w:val="Normal"/>
    <w:next w:val="Normal"/>
    <w:qFormat/>
    <w:pPr>
      <w:keepNext/>
      <w:spacing w:line="240" w:lineRule="auto"/>
    </w:pPr>
    <w:rPr>
      <w:rFonts w:ascii="Hiragino Sans" w:hAnsi="Hiragino Sans" w:eastAsia="Hiragino Sans"/>
      <w:color w:val="2E74B5"/>
      <w:sz w:val="32"/>
      <w:szCs w:val="32"/>
    </w:rPr>
  </w:style>
  <w:style w:type="paragraph" w:styleId="Heading2">
    <w:name w:val="Heading 2"/>
    <w:basedOn w:val="Normal"/>
    <w:next w:val="Normal"/>
    <w:qFormat/>
    <w:pPr>
      <w:keepNext/>
      <w:spacing w:line="240" w:lineRule="auto"/>
    </w:pPr>
    <w:rPr>
      <w:rFonts w:ascii="Hiragino Sans" w:hAnsi="Hiragino Sans" w:eastAsia="Hiragino Sans"/>
      <w:color w:val="2E74B5"/>
      <w:sz w:val="26"/>
      <w:szCs w:val="26"/>
    </w:rPr>
  </w:style>
  <w:style w:type="paragraph" w:styleId="Heading3">
    <w:name w:val="Heading 3"/>
    <w:basedOn w:val="Normal"/>
    <w:next w:val="Normal"/>
    <w:qFormat/>
    <w:pPr>
      <w:keepNext/>
      <w:spacing w:line="240" w:lineRule="auto"/>
    </w:pPr>
    <w:rPr>
      <w:rFonts w:ascii="Hiragino Sans" w:hAnsi="Hiragino Sans" w:eastAsia="Hiragino Sans"/>
      <w:color w:val="1F4D78"/>
      <w:sz w:val="24"/>
      <w:szCs w:val="24"/>
    </w:rPr>
  </w:style>
  <w:style w:type="paragraph" w:styleId="Heading4">
    <w:name w:val="Heading 4"/>
    <w:basedOn w:val="Normal"/>
    <w:next w:val="Normal"/>
    <w:qFormat/>
    <w:pPr>
      <w:keepNext/>
      <w:spacing w:line="240" w:lineRule="auto"/>
    </w:pPr>
    <w:rPr>
      <w:rFonts w:ascii="Hiragino Sans" w:hAnsi="Hiragino Sans" w:eastAsia="Hiragino Sans"/>
      <w:i/>
      <w:iCs/>
      <w:color w:val="2E74B5"/>
    </w:rPr>
  </w:style>
  <w:style w:type="paragraph" w:styleId="Heading5">
    <w:name w:val="Heading 5"/>
    <w:basedOn w:val="Normal"/>
    <w:next w:val="Normal"/>
    <w:qFormat/>
    <w:pPr>
      <w:keepNext/>
      <w:spacing w:line="240" w:lineRule="auto"/>
    </w:pPr>
    <w:rPr>
      <w:rFonts w:ascii="Hiragino Sans" w:hAnsi="Hiragino Sans" w:eastAsia="Hiragino Sans"/>
      <w:color w:val="2E74B5"/>
    </w:rPr>
  </w:style>
  <w:style w:type="paragraph" w:styleId="Heading6">
    <w:name w:val="Heading 6"/>
    <w:basedOn w:val="Normal"/>
    <w:next w:val="Normal"/>
    <w:qFormat/>
    <w:pPr>
      <w:keepNext/>
      <w:spacing w:line="240" w:lineRule="auto"/>
    </w:pPr>
    <w:rPr>
      <w:rFonts w:ascii="Hiragino Sans" w:hAnsi="Hiragino Sans" w:eastAsia="Hiragino Sans"/>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line="290" w:lineRule="exact" w:after="60"/>
    </w:pPr>
    <w:rPr>
      <w:rFonts w:ascii="Hiragino Mincho ProN" w:hAnsi="Hiragino Mincho ProN" w:eastAsia="Hiragino Mincho ProN" w:cs="Hiragino Mincho ProN"/>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登録日本語教員試験対策研究会「いろは」</dc:creator>
  <cp:lastModifiedBy>Un-named</cp:lastModifiedBy>
  <cp:revision>1</cp:revision>
  <dcterms:created xsi:type="dcterms:W3CDTF">2026-09-14T05:23:16.655Z</dcterms:created>
  <dcterms:modified xsi:type="dcterms:W3CDTF">2026-09-14T05:23:16.656Z</dcterms:modified>
  <dc:title>これ一冊で基礎から完成！　登録日本語教員試験 パーフェクト問題集</dc:title>
  <dc:subject>基礎から応用試験対策＋実戦演習〈全５００問〉</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