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総務省の「地域における多文化共生推進プラン」（2020年改訂）の、行政・生活情報の提供に関する説明として適切なものを一つ選べ。2020年版本文の内容を問い、現在の全制度の実施状況は問わない。</w:t>
      </w:r>
    </w:p>
    <w:p>
      <w:pPr>
        <w:spacing w:after="60"/>
        <w:ind w:left="360"/>
      </w:pPr>
      <w:r>
        <w:t>1. 対応言語は地域の実情にかかわらず英語だけとし、やさしい日本語は多言語での情報提供から除く。</w:t>
      </w:r>
    </w:p>
    <w:p>
      <w:pPr>
        <w:spacing w:after="60"/>
        <w:ind w:left="360"/>
      </w:pPr>
      <w:r>
        <w:t>2. 多言語情報の提供は行政単独で行い、支援に取り組むNPOや外国人の自助組織との連携を対象外とする。</w:t>
      </w:r>
    </w:p>
    <w:p>
      <w:pPr>
        <w:spacing w:after="60"/>
        <w:ind w:left="360"/>
      </w:pPr>
      <w:r>
        <w:t>3. 多言語にやさしい日本語を含め、地域の実情に応じて対応言語を検討し、NPOや外国人の自助組織等との連携も進める。</w:t>
      </w:r>
    </w:p>
    <w:p>
      <w:pPr>
        <w:spacing w:after="60"/>
        <w:ind w:left="360"/>
      </w:pPr>
      <w:r>
        <w:t>4. ICTによる通訳や翻訳を使えば、情報の受け手である外国人住民が理解して円滑に意思疎通できるかに配慮する必要はない。</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真田信治による国立国語研究所「ことば研究館」の2018年の記事「日本語とかかわるクレオールは存在しますか」で、宜蘭クレオールについて述べられていることを一つ選べ。同記事の調査報告を対象とする。</w:t>
      </w:r>
    </w:p>
    <w:p>
      <w:pPr>
        <w:spacing w:after="60"/>
        <w:ind w:left="360"/>
      </w:pPr>
      <w:r>
        <w:t>1. 日本統治時代に日本語を学んだ高年層の「台湾日本語」と区別せず、日本語の変種の一つとだけ位置付けている。</w:t>
      </w:r>
    </w:p>
    <w:p>
      <w:pPr>
        <w:spacing w:after="60"/>
        <w:ind w:left="360"/>
      </w:pPr>
      <w:r>
        <w:t>2. アタヤル語と日本語の接触から生まれ再編された言語とし、その担い手が年配者から子供・孫世代に及ぶと述べている。</w:t>
      </w:r>
    </w:p>
    <w:p>
      <w:pPr>
        <w:spacing w:after="60"/>
        <w:ind w:left="360"/>
      </w:pPr>
      <w:r>
        <w:t>3. 担い手は日本統治時代に日本語を学んだ高年層に限られ、子供・孫世代には及ばないと述べている。</w:t>
      </w:r>
    </w:p>
    <w:p>
      <w:pPr>
        <w:spacing w:after="60"/>
        <w:ind w:left="360"/>
      </w:pPr>
      <w:r>
        <w:t>4. 日本語を語彙供給言語とするクレオールは存在しないとして、宜蘭の調査結果もその否定の根拠にしている。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UNESCOの専門家グループ報告「Language Vitality and Endangerment」（2003）Factor 7が区別する、政策・態度の説明に合うものを一つ選べ。</w:t>
      </w:r>
    </w:p>
    <w:p>
      <w:pPr>
        <w:spacing w:after="60"/>
        <w:ind w:left="360"/>
      </w:pPr>
      <w:r>
        <w:t>1. active assimilationでは、支配的言語による教育を通じて少数集団に自らの言語を放棄するよう促すことが説明される。</w:t>
      </w:r>
    </w:p>
    <w:p>
      <w:pPr>
        <w:spacing w:after="60"/>
        <w:ind w:left="360"/>
      </w:pPr>
      <w:r>
        <w:t>2. equal supportとは、すべての少数言語の使用を禁止することである。</w:t>
      </w:r>
    </w:p>
    <w:p>
      <w:pPr>
        <w:spacing w:after="60"/>
        <w:ind w:left="360"/>
      </w:pPr>
      <w:r>
        <w:t>3. passive assimilationとは、すべての言語の維持を明示的な政策で等しく推進することである。</w:t>
      </w:r>
    </w:p>
    <w:p>
      <w:pPr>
        <w:spacing w:after="60"/>
        <w:ind w:left="360"/>
      </w:pPr>
      <w:r>
        <w:t>4. 同報告の分類では、同化にかかわる状態はすべて明文の言語使用禁止を必須条件とする。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EkmanとFriesen（1969）が述べる非言語行動のレギュレーター（調節行動）について、適切な説明を一つ選べ。動作の形だけでなく、会話内での働きを考える。</w:t>
      </w:r>
    </w:p>
    <w:p>
      <w:pPr>
        <w:spacing w:after="60"/>
        <w:ind w:left="360"/>
      </w:pPr>
      <w:r>
        <w:t>1. 他者の行動に影響を及ぼす非言語行動は、他の分類に当てはまる場合も含め、すべてレギュレーターだけに分類される。</w:t>
      </w:r>
    </w:p>
    <w:p>
      <w:pPr>
        <w:spacing w:after="60"/>
        <w:ind w:left="360"/>
      </w:pPr>
      <w:r>
        <w:t>2. レギュレーターは会話の進行には関係せず、発話中の個々の語の強調や内容の描写だけを担う。</w:t>
      </w:r>
    </w:p>
    <w:p>
      <w:pPr>
        <w:spacing w:after="60"/>
        <w:ind w:left="360"/>
      </w:pPr>
      <w:r>
        <w:t>3. レギュレーターは会話を管理するために毎回意識的に計画される行為であり、習慣的に行われることはない。</w:t>
      </w:r>
    </w:p>
    <w:p>
      <w:pPr>
        <w:spacing w:after="60"/>
        <w:ind w:left="360"/>
      </w:pPr>
      <w:r>
        <w:t>4. 話す・聞くというやり取りの流れや進み方を調節する行動であり、うなずきや視線などがその働きを担うことがある。</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少数言語の保持と教育機会について、1992年の国連少数者の権利宣言第4条第3項・第4項に合う説明を一つ選べ。母語学習の機会と社会全体について学ぶ機会を区別して考える。</w:t>
      </w:r>
    </w:p>
    <w:p>
      <w:pPr>
        <w:spacing w:after="60"/>
        <w:ind w:left="360"/>
      </w:pPr>
      <w:r>
        <w:t>1. 母語を学ぶ機会を設けることを、社会全体についての知識を得る機会をなくすための措置として位置付けている。</w:t>
      </w:r>
    </w:p>
    <w:p>
      <w:pPr>
        <w:spacing w:after="60"/>
        <w:ind w:left="360"/>
      </w:pPr>
      <w:r>
        <w:t>2. 少数者の歴史・伝統・言語・文化を知るための教育上の措置は、宣言では取り上げられていない。</w:t>
      </w:r>
    </w:p>
    <w:p>
      <w:pPr>
        <w:spacing w:after="60"/>
        <w:ind w:left="360"/>
      </w:pPr>
      <w:r>
        <w:t>3. 可能な限り母語を学ぶか母語で教育を受ける十分な機会のための適切な措置を求め、社会全体についての知識を得る十分な機会も示している。</w:t>
      </w:r>
    </w:p>
    <w:p>
      <w:pPr>
        <w:spacing w:after="60"/>
        <w:ind w:left="360"/>
      </w:pPr>
      <w:r>
        <w:t>4. すべての教育機関で全科目を各人の母語だけで教えることを、実施可能性に関係なく一律に求めている。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CUNY-NYSIEBの「Developing Students’ Identities as Bilingual Readers and Writers」が示す、トランスランゲージングを取り入れた読み書きの支援に合うものを一つ選べ。</w:t>
      </w:r>
    </w:p>
    <w:p>
      <w:pPr>
        <w:spacing w:after="60"/>
        <w:ind w:left="360"/>
      </w:pPr>
      <w:r>
        <w:t>1. 児童生徒が家庭の言語の知識を使って文章を考えることを、常に禁止する。</w:t>
      </w:r>
    </w:p>
    <w:p>
      <w:pPr>
        <w:spacing w:after="60"/>
        <w:ind w:left="360"/>
      </w:pPr>
      <w:r>
        <w:t>2. 文章が一つの言語で書かれていれば、読者が持つ他の言語の経験を分析や執筆に使う機会をすべて除く。</w:t>
      </w:r>
    </w:p>
    <w:p>
      <w:pPr>
        <w:spacing w:after="60"/>
        <w:ind w:left="360"/>
      </w:pPr>
      <w:r>
        <w:t>3. 文章の言語にかかわらず、学習者が持つ言語レパートリー全体やバイリンガルとしての経験を、文章の検討や執筆に生かす機会を設ける。</w:t>
      </w:r>
    </w:p>
    <w:p>
      <w:pPr>
        <w:spacing w:after="60"/>
        <w:ind w:left="360"/>
      </w:pPr>
      <w:r>
        <w:t>4. この資料の読み書きの支援は、児童生徒を対象とせず、職業翻訳者だけを対象とする。</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Cambridge EnglishのTKT GlossaryのInteractionの項に照らし、授業でやり取りを続けるための方略に合うものを一つ選べ。</w:t>
      </w:r>
    </w:p>
    <w:p>
      <w:pPr>
        <w:spacing w:after="60"/>
        <w:ind w:left="360"/>
      </w:pPr>
      <w:r>
        <w:t>1. 相手の発言が理解できなくても、確認や聞き返しを一切しないことだけを方略とする。</w:t>
      </w:r>
    </w:p>
    <w:p>
      <w:pPr>
        <w:spacing w:after="60"/>
        <w:ind w:left="360"/>
      </w:pPr>
      <w:r>
        <w:t>2. インタラクションは一方向の伝達だけを意味し、聞き手からの応答を含まない。</w:t>
      </w:r>
    </w:p>
    <w:p>
      <w:pPr>
        <w:spacing w:after="60"/>
        <w:ind w:left="360"/>
      </w:pPr>
      <w:r>
        <w:t>3. 相手とのやり取りを続ける工夫から、反復や明確化の要求を必ず除外する。</w:t>
      </w:r>
    </w:p>
    <w:p>
      <w:pPr>
        <w:spacing w:after="60"/>
        <w:ind w:left="360"/>
      </w:pPr>
      <w:r>
        <w:t>4. 相手の発言を繰り返して確かめたり、分からない点の説明を求めたりして、やり取りを続ける。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Celce-Murcia・Dörnyei・Thurrell（1995）のTable 5における「回避・縮小方略（avoidance or reduction strategies）」に分類されるものを一つ選べ。同論文の方略分類を問う。</w:t>
      </w:r>
    </w:p>
    <w:p>
      <w:pPr>
        <w:spacing w:after="60"/>
        <w:ind w:left="360"/>
      </w:pPr>
      <w:r>
        <w:t>1. ある話題を避けたり、伝えようとしたメッセージを断念したりする。</w:t>
      </w:r>
    </w:p>
    <w:p>
      <w:pPr>
        <w:spacing w:after="60"/>
        <w:ind w:left="360"/>
      </w:pPr>
      <w:r>
        <w:t>2. 分からない語を、意味を説明する迂言で補って伝える。</w:t>
      </w:r>
    </w:p>
    <w:p>
      <w:pPr>
        <w:spacing w:after="60"/>
        <w:ind w:left="360"/>
      </w:pPr>
      <w:r>
        <w:t>3. 考える時間を得るために、つなぎ語を使ったり発話を繰り返したりする。</w:t>
      </w:r>
    </w:p>
    <w:p>
      <w:pPr>
        <w:spacing w:after="60"/>
        <w:ind w:left="360"/>
      </w:pPr>
      <w:r>
        <w:t>4. 自分の発話の誤りに気付き、自分から言い直して修正する。</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欧州評議会が紹介するCassis（2012）の異文化理解研修では、クリティカル・インシデントを扱う活動が説明されている。その活動に合うものを一つ選べ。</w:t>
      </w:r>
    </w:p>
    <w:p>
      <w:pPr>
        <w:spacing w:after="60"/>
        <w:ind w:left="360"/>
      </w:pPr>
      <w:r>
        <w:t>1. 出来事を検討せず、異文化に接した人全員が自己のアイデンティティを失うと判定する。</w:t>
      </w:r>
    </w:p>
    <w:p>
      <w:pPr>
        <w:spacing w:after="60"/>
        <w:ind w:left="360"/>
      </w:pPr>
      <w:r>
        <w:t>2. 誤解の場面について話し合わず、発音の点数だけを測る。</w:t>
      </w:r>
    </w:p>
    <w:p>
      <w:pPr>
        <w:spacing w:after="60"/>
        <w:ind w:left="360"/>
      </w:pPr>
      <w:r>
        <w:t>3. 相手の行動の理由を調べず、最初の印象だけを最終結論にする。</w:t>
      </w:r>
    </w:p>
    <w:p>
      <w:pPr>
        <w:spacing w:after="60"/>
        <w:ind w:left="360"/>
      </w:pPr>
      <w:r>
        <w:t>4. 異文化接触での行き違いや誤解の場面を話し合い、建設的に対応するための能力を検討する。</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ヤスコ・ナガノ・マドセン、杉藤美代子（1999）「東京と大阪の談話におけるあいづちの種類とその運用」の2.2節に示された定義に合うものを一つ選べ。</w:t>
      </w:r>
    </w:p>
    <w:p>
      <w:pPr>
        <w:spacing w:after="60"/>
        <w:ind w:left="360"/>
      </w:pPr>
      <w:r>
        <w:t>1. あいづちは必ず内容への賛成だけを表し、聞いていることを伝える働きは含まない。</w:t>
      </w:r>
    </w:p>
    <w:p>
      <w:pPr>
        <w:spacing w:after="60"/>
        <w:ind w:left="360"/>
      </w:pPr>
      <w:r>
        <w:t>2. 同節の広義のあいづちには、うなずきなどの非言語的行動は一切含まれない。</w:t>
      </w:r>
    </w:p>
    <w:p>
      <w:pPr>
        <w:spacing w:after="60"/>
        <w:ind w:left="360"/>
      </w:pPr>
      <w:r>
        <w:t>3. 同節では、話の内容を変える実質的な反論も、すべてあいづちとして分析する。</w:t>
      </w:r>
    </w:p>
    <w:p>
      <w:pPr>
        <w:spacing w:after="60"/>
        <w:ind w:left="360"/>
      </w:pPr>
      <w:r>
        <w:t>4. 聞いていること、分かったこと、さらに聞きたいことなどを示し、対話を進める働きを持つ応答が扱われる。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spacing w:after="60"/>
        <w:ind w:left="360"/>
      </w:pPr>
      <w:r>
        <w:t>1. Fが自分の意見だけを長時間述べたと、会話にない発言を補って評価する。</w:t>
      </w:r>
    </w:p>
    <w:p>
      <w:pPr>
        <w:spacing w:after="60"/>
        <w:ind w:left="360"/>
      </w:pPr>
      <w:r>
        <w:t>2. FはGの話を一切聞きたくなかったと、F自身の説明を検討せずに意図を確定する。</w:t>
      </w:r>
    </w:p>
    <w:p>
      <w:pPr>
        <w:spacing w:after="60"/>
        <w:ind w:left="360"/>
      </w:pPr>
      <w:r>
        <w:t>3. 続きへの関心を示す意図と相手の受け止めがずれた点を確認し、言い方や間の取り方も含めて応答を検討する。</w:t>
      </w:r>
    </w:p>
    <w:p>
      <w:pPr>
        <w:spacing w:after="60"/>
        <w:ind w:left="360"/>
      </w:pPr>
      <w:r>
        <w:t>4. 「それで？」という語だけで、どの場面でも必ず無礼になると一般化する。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British Council掲載のDavid Heathfield「Online Storytelling: Engaging, Personal, Creative」が紹介するオンライン授業の工夫に合うものを一つ選べ。利用できる機能は実際の環境で確認する。</w:t>
      </w:r>
    </w:p>
    <w:p>
      <w:pPr>
        <w:spacing w:after="60"/>
        <w:ind w:left="360"/>
      </w:pPr>
      <w:r>
        <w:t>1. チャットで物語への質問や予想を書き、音声で応答するなど、複数の手段を活動に組み合わせる。</w:t>
      </w:r>
    </w:p>
    <w:p>
      <w:pPr>
        <w:spacing w:after="60"/>
        <w:ind w:left="360"/>
      </w:pPr>
      <w:r>
        <w:t>2. 同記事は、チャットによる質問を一切禁じ、教師の音声だけに活動を限定する。</w:t>
      </w:r>
    </w:p>
    <w:p>
      <w:pPr>
        <w:spacing w:after="60"/>
        <w:ind w:left="360"/>
      </w:pPr>
      <w:r>
        <w:t>3. 同記事は、物語を予想するペア活動を小部屋で行う案を全く紹介していない。</w:t>
      </w:r>
    </w:p>
    <w:p>
      <w:pPr>
        <w:spacing w:after="60"/>
        <w:ind w:left="360"/>
      </w:pPr>
      <w:r>
        <w:t>4. 同記事では、参加者のカメラが使えない場合は身体表現を試す活動にも一切参加できないとされる。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髙橋美奈子・谷部弘子・本田明子（2017）の論文では、同一話者の前後の発話間で基本的なスピーチレベルから一時的に移ることを、何と呼んでいるか。同論文4.2節の用語を一つ選べ。</w:t>
      </w:r>
    </w:p>
    <w:p>
      <w:pPr>
        <w:spacing w:after="60"/>
        <w:ind w:left="360"/>
      </w:pPr>
      <w:r>
        <w:t xml:space="preserve">1. スピーチレベルシフト</w:t>
      </w:r>
    </w:p>
    <w:p>
      <w:pPr>
        <w:spacing w:after="60"/>
        <w:ind w:left="360"/>
      </w:pPr>
      <w:r>
        <w:t>2. スピーチレベルが同じまま全く動かないこと</w:t>
      </w:r>
    </w:p>
    <w:p>
      <w:pPr>
        <w:spacing w:after="60"/>
        <w:ind w:left="360"/>
      </w:pPr>
      <w:r>
        <w:t>3. 語の個数だけを数えること</w:t>
      </w:r>
    </w:p>
    <w:p>
      <w:pPr>
        <w:spacing w:after="60"/>
        <w:ind w:left="360"/>
      </w:pPr>
      <w:r>
        <w:t>4. 文字の書体だけを変えること</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ケース3のクラスで今後の敬語教材を作る際、『敬語の指針』（2007）の「いわゆるマニュアル敬語」「敬語についての教育」を参考にした方針として適切なものを一つ選べ。</w:t>
      </w:r>
    </w:p>
    <w:p>
      <w:pPr>
        <w:spacing w:after="60"/>
        <w:ind w:left="360"/>
      </w:pPr>
      <w:r>
        <w:t>1. 敬語の種類や形の知識だけを扱い、相手や場面を考えて表現を選ぶ活動は教材から除く。</w:t>
      </w:r>
    </w:p>
    <w:p>
      <w:pPr>
        <w:spacing w:after="60"/>
        <w:ind w:left="360"/>
      </w:pPr>
      <w:r>
        <w:t>2. 敬語の仕組みの知識と場面に即した複数の表現例を扱い、相手や状況に応じて表現を選ぶ考え方と実践の機会を設ける。</w:t>
      </w:r>
    </w:p>
    <w:p>
      <w:pPr>
        <w:spacing w:after="60"/>
        <w:ind w:left="360"/>
      </w:pPr>
      <w:r>
        <w:t>3. 一つの場面には唯一の表現だけを示し、相手や状況が変わってもその表現以外は使わせない。</w:t>
      </w:r>
    </w:p>
    <w:p>
      <w:pPr>
        <w:spacing w:after="60"/>
        <w:ind w:left="360"/>
      </w:pPr>
      <w:r>
        <w:t>4. 日常生活で周囲の敬語を聞く経験だけに任せ、意図的な学習や指導の機会は設けない。</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Trudgill（1972）がNorwichの調査結果の解釈で論じた「潜在的威信（covert prestige）」について、適切な説明を一つ選べ。同論文の対象と解釈の範囲で考える。</w:t>
      </w:r>
    </w:p>
    <w:p>
      <w:pPr>
        <w:spacing w:after="60"/>
        <w:ind w:left="360"/>
      </w:pPr>
      <w:r>
        <w:t>1. 非標準的な話し方が、集団の連帯などと結び付き、表立っては表明されない肯定的な価値を持ち得る。</w:t>
      </w:r>
    </w:p>
    <w:p>
      <w:pPr>
        <w:spacing w:after="60"/>
        <w:ind w:left="360"/>
      </w:pPr>
      <w:r>
        <w:t>2. 肯定的な社会的評価は標準的な話し方だけに伴い、非標準的な話し方には伴わないとする。</w:t>
      </w:r>
    </w:p>
    <w:p>
      <w:pPr>
        <w:spacing w:after="60"/>
        <w:ind w:left="360"/>
      </w:pPr>
      <w:r>
        <w:t>3. 非標準的な話し方への好意を全員が公に明言することが、この論文で潜在的威信を認めるための必須条件である。</w:t>
      </w:r>
    </w:p>
    <w:p>
      <w:pPr>
        <w:spacing w:after="60"/>
        <w:ind w:left="360"/>
      </w:pPr>
      <w:r>
        <w:t>4. 自己評価に現れる隠れた価値は存在しないとして、標準形の少ない使用を積極的に申告する傾向を解釈から除いている。</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デジタル機器を学習者も操作する活動について、British Councilの「Interactive Whiteboard IWB」の解説に合うものを一つ選べ。同記事で紹介する機器と授業例を対象とする。</w:t>
      </w:r>
    </w:p>
    <w:p>
      <w:pPr>
        <w:spacing w:after="60"/>
        <w:ind w:left="360"/>
      </w:pPr>
      <w:r>
        <w:t>1. 教師だけでなく学習者も画面を通じてコンピューターを操作でき、学習者自身がボードを使う発表などの活動も紹介される。</w:t>
      </w:r>
    </w:p>
    <w:p>
      <w:pPr>
        <w:spacing w:after="60"/>
        <w:ind w:left="360"/>
      </w:pPr>
      <w:r>
        <w:t>2. 学習者がボードを操作することはできず、教師が画面を見せる使い方しか認められていない。</w:t>
      </w:r>
    </w:p>
    <w:p>
      <w:pPr>
        <w:spacing w:after="60"/>
        <w:ind w:left="360"/>
      </w:pPr>
      <w:r>
        <w:t>3. 音声を聞くには学習者が操作できないため、記事の発音活動例では記号をクリックする活動が除かれている。</w:t>
      </w:r>
    </w:p>
    <w:p>
      <w:pPr>
        <w:spacing w:after="60"/>
        <w:ind w:left="360"/>
      </w:pPr>
      <w:r>
        <w:t>4. 学習者中心の活動とは教師だけが全操作を行うことだと説明され、学習者が授業の一部を進行する活動は除外される。</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本文7頁は、多言語にやさしい日本語を含め、地域の実情に応じて対応する言語を検討するとしています。英語だけに固定する説明は合いません。</w:t>
      </w:r>
    </w:p>
    <w:p>
      <w:pPr>
        <w:spacing w:after="100"/>
      </w:pPr>
      <w:r>
        <w:rPr>
          <w:b/>
          <w:bCs/>
          <w:color w:val="B00020"/>
        </w:rPr>
        <w:t xml:space="preserve">2（誤）</w:t>
      </w:r>
      <w:r>
        <w:t xml:space="preserve">　本文7頁の「NPO等との連携による多言語情報の提供」は、支援に取り組むNPOや外国人の自助組織等との連携を挙げています。行政単独には限定しません。</w:t>
      </w:r>
    </w:p>
    <w:p>
      <w:pPr>
        <w:spacing w:after="100"/>
      </w:pPr>
      <w:r>
        <w:rPr>
          <w:b/>
          <w:bCs/>
          <w:color w:val="2E7D32"/>
        </w:rPr>
        <w:t xml:space="preserve">3（正）</w:t>
      </w:r>
      <w:r>
        <w:t xml:space="preserve">　本文7頁の情報提供とNPO等との連携の記述に対応します。このプランの方針を、全自治体で同一のサービスが実現済みであるとの事実認定には読み替えていません。</w:t>
      </w:r>
    </w:p>
    <w:p>
      <w:pPr>
        <w:spacing w:after="100"/>
      </w:pPr>
      <w:r>
        <w:rPr>
          <w:b/>
          <w:bCs/>
          <w:color w:val="B00020"/>
        </w:rPr>
        <w:t xml:space="preserve">4（誤）</w:t>
      </w:r>
      <w:r>
        <w:t xml:space="preserve">　本文7頁は、ICTを活用する際も、外国人住民の理解を得て円滑に意思疎通できるよう十分に配意するとしています。技術の使用で配慮が不要になるわけではありません。</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記事は、日本語の変種である「台湾日本語」と、接触・再編から生まれた宜蘭クレオールを区別しています。両者を同じ位置付けにする説明は合いません。</w:t>
      </w:r>
    </w:p>
    <w:p>
      <w:pPr>
        <w:spacing w:after="100"/>
      </w:pPr>
      <w:r>
        <w:rPr>
          <w:b/>
          <w:bCs/>
          <w:color w:val="2E7D32"/>
        </w:rPr>
        <w:t xml:space="preserve">2（正）</w:t>
      </w:r>
      <w:r>
        <w:t xml:space="preserve">　記事はアタヤル語と日本語の接触・再編、および子供・孫世代に及ぶ担い手を報告しています。当該事例の説明であり、すべてのクレオールの成立史を一律に定めるものではありません。</w:t>
      </w:r>
    </w:p>
    <w:p>
      <w:pPr>
        <w:spacing w:after="100"/>
      </w:pPr>
      <w:r>
        <w:rPr>
          <w:b/>
          <w:bCs/>
          <w:color w:val="B00020"/>
        </w:rPr>
        <w:t xml:space="preserve">3（誤）</w:t>
      </w:r>
      <w:r>
        <w:t xml:space="preserve">　記事は年配者だけでなく子供・孫世代も担い手であると述べています。高年層に限定する説明は逆です。2018年の記事の記述であり、現在の話者数を示すものではありません。</w:t>
      </w:r>
    </w:p>
    <w:p>
      <w:pPr>
        <w:spacing w:after="100"/>
      </w:pPr>
      <w:r>
        <w:rPr>
          <w:b/>
          <w:bCs/>
          <w:color w:val="B00020"/>
        </w:rPr>
        <w:t xml:space="preserve">4（誤）</w:t>
      </w:r>
      <w:r>
        <w:t xml:space="preserve">　記事は日本語を上層、すなわち語彙供給言語とするクレオールが宜蘭で確認されたと報告しています。存在を否定する説明ではありません。</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Factor 7のactive assimilationの説明に対応します。</w:t>
      </w:r>
    </w:p>
    <w:p>
      <w:pPr>
        <w:spacing w:after="100"/>
      </w:pPr>
      <w:r>
        <w:rPr>
          <w:b/>
          <w:bCs/>
          <w:color w:val="B00020"/>
        </w:rPr>
        <w:t xml:space="preserve">2（誤）</w:t>
      </w:r>
      <w:r>
        <w:t xml:space="preserve">　equal supportはすべての言語を価値あるものとし、保護と維持を促す側です。</w:t>
      </w:r>
    </w:p>
    <w:p>
      <w:pPr>
        <w:spacing w:after="100"/>
      </w:pPr>
      <w:r>
        <w:rPr>
          <w:b/>
          <w:bCs/>
          <w:color w:val="B00020"/>
        </w:rPr>
        <w:t xml:space="preserve">3（誤）</w:t>
      </w:r>
      <w:r>
        <w:t xml:space="preserve">　その説明はequal supportの側です。passive assimilationは、明示的政策がなくても支配的言語が優勢な状態を含みます。</w:t>
      </w:r>
    </w:p>
    <w:p>
      <w:pPr>
        <w:spacing w:after="100"/>
      </w:pPr>
      <w:r>
        <w:rPr>
          <w:b/>
          <w:bCs/>
          <w:color w:val="B00020"/>
        </w:rPr>
        <w:t xml:space="preserve">4（誤）</w:t>
      </w:r>
      <w:r>
        <w:t xml:space="preserve">　同報告はpassive assimilationなどとprohibitionを区別しています。同化をすべて明文禁止と同一視できません。</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同資料は持っている言語の知識や経験を資源として扱っています。家庭の言語の全面禁止ではありません。</w:t>
      </w:r>
    </w:p>
    <w:p>
      <w:pPr>
        <w:spacing w:after="100"/>
      </w:pPr>
      <w:r>
        <w:rPr>
          <w:b/>
          <w:bCs/>
          <w:color w:val="B00020"/>
        </w:rPr>
        <w:t xml:space="preserve">2（誤）</w:t>
      </w:r>
      <w:r>
        <w:t xml:space="preserve">　同資料は文章の言語にかかわらず、言語レパートリー全体を生かす機会を勧めています。</w:t>
      </w:r>
    </w:p>
    <w:p>
      <w:pPr>
        <w:spacing w:after="100"/>
      </w:pPr>
      <w:r>
        <w:rPr>
          <w:b/>
          <w:bCs/>
          <w:color w:val="2E7D32"/>
        </w:rPr>
        <w:t xml:space="preserve">3（正）</w:t>
      </w:r>
      <w:r>
        <w:t xml:space="preserve">　同資料の第1原則に対応します。特定の手法だけで全員の学習成果が必ず上がるという因果保証ではありません。</w:t>
      </w:r>
    </w:p>
    <w:p>
      <w:pPr>
        <w:spacing w:after="100"/>
      </w:pPr>
      <w:r>
        <w:rPr>
          <w:b/>
          <w:bCs/>
          <w:color w:val="B00020"/>
        </w:rPr>
        <w:t xml:space="preserve">4（誤）</w:t>
      </w:r>
      <w:r>
        <w:t xml:space="preserve">　資料は児童生徒の読み手・書き手としての学習環境を扱っています。専門翻訳者だけに限っていません。</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同用語集は明確化を求めることを方略の例に挙げています。確認を全面的に排除する説明は合いません。</w:t>
      </w:r>
    </w:p>
    <w:p>
      <w:pPr>
        <w:spacing w:after="100"/>
      </w:pPr>
      <w:r>
        <w:rPr>
          <w:b/>
          <w:bCs/>
          <w:color w:val="B00020"/>
        </w:rPr>
        <w:t xml:space="preserve">2（誤）</w:t>
      </w:r>
      <w:r>
        <w:t xml:space="preserve">　同項は話し手と聞き手などの双方向のコミュニケーションとして説明しています。</w:t>
      </w:r>
    </w:p>
    <w:p>
      <w:pPr>
        <w:spacing w:after="100"/>
      </w:pPr>
      <w:r>
        <w:rPr>
          <w:b/>
          <w:bCs/>
          <w:color w:val="B00020"/>
        </w:rPr>
        <w:t xml:space="preserve">3（誤）</w:t>
      </w:r>
      <w:r>
        <w:t xml:space="preserve">　反復や明確化の要求は同項に挙げられた例です。</w:t>
      </w:r>
    </w:p>
    <w:p>
      <w:pPr>
        <w:spacing w:after="100"/>
      </w:pPr>
      <w:r>
        <w:rPr>
          <w:b/>
          <w:bCs/>
          <w:color w:val="2E7D32"/>
        </w:rPr>
        <w:t xml:space="preserve">4（正）</w:t>
      </w:r>
      <w:r>
        <w:t xml:space="preserve">　同項の方略の例に対応します。全員の習得速度や不安への効果を保証する説明ではありません。</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原著27頁の説明と28頁のTable 5は、話題の回避とメッセージの断念を回避・縮小方略に挙げています。ここでは分類を問い、誤用数だけから個人の回避や習得を断定していません。</w:t>
      </w:r>
    </w:p>
    <w:p>
      <w:pPr>
        <w:spacing w:after="100"/>
      </w:pPr>
      <w:r>
        <w:rPr>
          <w:b/>
          <w:bCs/>
          <w:color w:val="B00020"/>
        </w:rPr>
        <w:t xml:space="preserve">2（誤）</w:t>
      </w:r>
      <w:r>
        <w:t xml:space="preserve">　Table 5は迂言を達成・補償方略に分類しています。語の意味を説明して伝えようとする例であり、同表の回避・縮小方略ではありません。</w:t>
      </w:r>
    </w:p>
    <w:p>
      <w:pPr>
        <w:spacing w:after="100"/>
      </w:pPr>
      <w:r>
        <w:rPr>
          <w:b/>
          <w:bCs/>
          <w:color w:val="B00020"/>
        </w:rPr>
        <w:t xml:space="preserve">3（誤）</w:t>
      </w:r>
      <w:r>
        <w:t xml:space="preserve">　原著27頁とTable 5は、つなぎ語や繰り返しを時間稼ぎの方略に挙げています。同表では回避・縮小方略と別の区分です。</w:t>
      </w:r>
    </w:p>
    <w:p>
      <w:pPr>
        <w:spacing w:after="100"/>
      </w:pPr>
      <w:r>
        <w:rPr>
          <w:b/>
          <w:bCs/>
          <w:color w:val="B00020"/>
        </w:rPr>
        <w:t xml:space="preserve">4（誤）</w:t>
      </w:r>
      <w:r>
        <w:t xml:space="preserve">　原著27頁とTable 5は、自発的な修復を自己モニタリング方略に挙げています。同表では回避・縮小方略と別の区分です。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研修紹介は実践や前提を振り返り検討する活動です。全員の心理状態を一律に判定する説明ではありません。</w:t>
      </w:r>
    </w:p>
    <w:p>
      <w:pPr>
        <w:spacing w:after="100"/>
      </w:pPr>
      <w:r>
        <w:rPr>
          <w:b/>
          <w:bCs/>
          <w:color w:val="B00020"/>
        </w:rPr>
        <w:t xml:space="preserve">2（誤）</w:t>
      </w:r>
      <w:r>
        <w:t xml:space="preserve">　紹介は行き違いや誤解の場面の討議を含みます。発音の採点だけではありません。</w:t>
      </w:r>
    </w:p>
    <w:p>
      <w:pPr>
        <w:spacing w:after="100"/>
      </w:pPr>
      <w:r>
        <w:rPr>
          <w:b/>
          <w:bCs/>
          <w:color w:val="B00020"/>
        </w:rPr>
        <w:t xml:space="preserve">3（誤）</w:t>
      </w:r>
      <w:r>
        <w:t xml:space="preserve">　紹介は自分の前提を見直すことも含みます。最初の印象だけで検討を終える活動ではありません。</w:t>
      </w:r>
    </w:p>
    <w:p>
      <w:pPr>
        <w:spacing w:after="100"/>
      </w:pPr>
      <w:r>
        <w:rPr>
          <w:b/>
          <w:bCs/>
          <w:color w:val="2E7D32"/>
        </w:rPr>
        <w:t xml:space="preserve">4（正）</w:t>
      </w:r>
      <w:r>
        <w:t xml:space="preserve">　研修紹介の説明に対応します。出来事の原因を最初から文化差だけに限定するという意味ではありません。</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同節の定義は、聴取・理解・続きへの関心などを含みます。賛成だけに限定しません。</w:t>
      </w:r>
    </w:p>
    <w:p>
      <w:pPr>
        <w:spacing w:after="100"/>
      </w:pPr>
      <w:r>
        <w:rPr>
          <w:b/>
          <w:bCs/>
          <w:color w:val="B00020"/>
        </w:rPr>
        <w:t xml:space="preserve">2（誤）</w:t>
      </w:r>
      <w:r>
        <w:t xml:space="preserve">　同節は同様の働きを持つ非言語的行動も広義に含めます。ただし実際の分析対象とは区別しています。</w:t>
      </w:r>
    </w:p>
    <w:p>
      <w:pPr>
        <w:spacing w:after="100"/>
      </w:pPr>
      <w:r>
        <w:rPr>
          <w:b/>
          <w:bCs/>
          <w:color w:val="B00020"/>
        </w:rPr>
        <w:t xml:space="preserve">3（誤）</w:t>
      </w:r>
      <w:r>
        <w:t xml:space="preserve">　同節では内容を変える実質的な反論をあいづちから区別しています。</w:t>
      </w:r>
    </w:p>
    <w:p>
      <w:pPr>
        <w:spacing w:after="100"/>
      </w:pPr>
      <w:r>
        <w:rPr>
          <w:b/>
          <w:bCs/>
          <w:color w:val="2E7D32"/>
        </w:rPr>
        <w:t xml:space="preserve">4（正）</w:t>
      </w:r>
      <w:r>
        <w:t xml:space="preserve">　同節の定義に対応します。同研究の対象外の言語との頻度比較まで証明したものではありません。</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会話にはFが長い意見を述べた事実がありません。記録にない行動を評価の根拠にしません。</w:t>
      </w:r>
    </w:p>
    <w:p>
      <w:pPr>
        <w:spacing w:after="100"/>
      </w:pPr>
      <w:r>
        <w:rPr>
          <w:b/>
          <w:bCs/>
          <w:color w:val="B00020"/>
        </w:rPr>
        <w:t xml:space="preserve">2（誤）</w:t>
      </w:r>
      <w:r>
        <w:t xml:space="preserve">　Fは続きへの関心を述べています。拒絶の意図を確定する根拠にはなりません。</w:t>
      </w:r>
    </w:p>
    <w:p>
      <w:pPr>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spacing w:after="100"/>
      </w:pPr>
      <w:r>
        <w:rPr>
          <w:b/>
          <w:bCs/>
          <w:color w:val="B00020"/>
        </w:rPr>
        <w:t xml:space="preserve">4（誤）</w:t>
      </w:r>
      <w:r>
        <w:t xml:space="preserve">　応答の受け止めはこの事例で明示されています。他のすべての場面まで同じと結論できません。</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同記事の物語を話す前の活動案に対応します。実施には利用環境と授業目標に合う選択が必要です。</w:t>
      </w:r>
    </w:p>
    <w:p>
      <w:pPr>
        <w:spacing w:after="100"/>
      </w:pPr>
      <w:r>
        <w:rPr>
          <w:b/>
          <w:bCs/>
          <w:color w:val="B00020"/>
        </w:rPr>
        <w:t xml:space="preserve">2（誤）</w:t>
      </w:r>
      <w:r>
        <w:t xml:space="preserve">　同記事はチャットでの質問や予想の投稿を紹介しています。</w:t>
      </w:r>
    </w:p>
    <w:p>
      <w:pPr>
        <w:spacing w:after="100"/>
      </w:pPr>
      <w:r>
        <w:rPr>
          <w:b/>
          <w:bCs/>
          <w:color w:val="B00020"/>
        </w:rPr>
        <w:t xml:space="preserve">3（誤）</w:t>
      </w:r>
      <w:r>
        <w:t xml:space="preserve">　同記事は小部屋でペアが予想した物語を話す活動案も示しています。</w:t>
      </w:r>
    </w:p>
    <w:p>
      <w:pPr>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同論文4.2節にある、本稿で採用する定義に対応します。分析は文末スタイルのシフトに限定されています。</w:t>
      </w:r>
    </w:p>
    <w:p>
      <w:pPr>
        <w:spacing w:after="100"/>
      </w:pPr>
      <w:r>
        <w:rPr>
          <w:b/>
          <w:bCs/>
          <w:color w:val="B00020"/>
        </w:rPr>
        <w:t xml:space="preserve">2（誤）</w:t>
      </w:r>
      <w:r>
        <w:t xml:space="preserve">　設問は一時的な移動を問います。同じまま動かないという説明とは異なります。</w:t>
      </w:r>
    </w:p>
    <w:p>
      <w:pPr>
        <w:spacing w:after="100"/>
      </w:pPr>
      <w:r>
        <w:rPr>
          <w:b/>
          <w:bCs/>
          <w:color w:val="B00020"/>
        </w:rPr>
        <w:t xml:space="preserve">3（誤）</w:t>
      </w:r>
      <w:r>
        <w:t xml:space="preserve">　同論文がここで定義しているのはレベル間の移動であり、単なる語数ではありません。</w:t>
      </w:r>
    </w:p>
    <w:p>
      <w:pPr>
        <w:spacing w:after="100"/>
      </w:pPr>
      <w:r>
        <w:rPr>
          <w:b/>
          <w:bCs/>
          <w:color w:val="B00020"/>
        </w:rPr>
        <w:t xml:space="preserve">4（誤）</w:t>
      </w:r>
      <w:r>
        <w:t xml:space="preserve">　発話のレベルの移動を問うもので、文字の書体だけの変更ではありません。</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指針10頁は仕組みや心遣いと共に場面に即した具体例を示すこと、11頁は知識と実践的使用の両方を扱います。場面での選択を除く方針は合いません。</w:t>
      </w:r>
    </w:p>
    <w:p>
      <w:pPr>
        <w:spacing w:after="100"/>
      </w:pPr>
      <w:r>
        <w:rPr>
          <w:b/>
          <w:bCs/>
          <w:color w:val="2E7D32"/>
        </w:rPr>
        <w:t xml:space="preserve">2（正）</w:t>
      </w:r>
      <w:r>
        <w:t xml:space="preserve">　指針10頁の複数の表現例と選択の考え方、11頁の知識と実践的使用を組み合わせた方針です。ケースの場面比較から今後の教材へ広げる適用例で、効果を保証するものではありません。</w:t>
      </w:r>
    </w:p>
    <w:p>
      <w:pPr>
        <w:spacing w:after="100"/>
      </w:pPr>
      <w:r>
        <w:rPr>
          <w:b/>
          <w:bCs/>
          <w:color w:val="B00020"/>
        </w:rPr>
        <w:t xml:space="preserve">3（誤）</w:t>
      </w:r>
      <w:r>
        <w:t xml:space="preserve">　指針10頁は手引に示された内容を唯一絶対とせず、相手や状況に応じた複数の表現や選択の考え方を示すよう述べています。唯一の表現を固定する方針は逆です。</w:t>
      </w:r>
    </w:p>
    <w:p>
      <w:pPr>
        <w:spacing w:after="100"/>
      </w:pPr>
      <w:r>
        <w:rPr>
          <w:b/>
          <w:bCs/>
          <w:color w:val="B00020"/>
        </w:rPr>
        <w:t xml:space="preserve">4（誤）</w:t>
      </w:r>
      <w:r>
        <w:t xml:space="preserve">　指針11頁は日常の使用を見聞きして使う経験を重視すると同時に、能動的・意図的な学習や教育の機会を設けることも求めています。経験だけには限定しません。</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原著188頁は、非標準的な話し方への表立って表明されない好意と集団の連帯を結び付け、潜在的威信を説明しています。当該調査の解釈を全社会・全話者へ一般化しません。</w:t>
      </w:r>
    </w:p>
    <w:p>
      <w:pPr>
        <w:spacing w:after="100"/>
      </w:pPr>
      <w:r>
        <w:rPr>
          <w:b/>
          <w:bCs/>
          <w:color w:val="B00020"/>
        </w:rPr>
        <w:t xml:space="preserve">2（誤）</w:t>
      </w:r>
      <w:r>
        <w:t xml:space="preserve">　原著188頁は、Norwichの男性話者にとって労働者階級の非標準的な話し方が威信を持つという解釈を示します。標準的な形だけに評価が伴うという限定ではありません。</w:t>
      </w:r>
    </w:p>
    <w:p>
      <w:pPr>
        <w:spacing w:after="100"/>
      </w:pPr>
      <w:r>
        <w:rPr>
          <w:b/>
          <w:bCs/>
          <w:color w:val="B00020"/>
        </w:rPr>
        <w:t xml:space="preserve">3（誤）</w:t>
      </w:r>
      <w:r>
        <w:t xml:space="preserve">　原著188頁では、好意的な態度が表立っては表明されないことと、自己評価の回答に表れる隠れた価値を区別しています。公の明言を必須条件とする説明は逆です。</w:t>
      </w:r>
    </w:p>
    <w:p>
      <w:pPr>
        <w:spacing w:after="100"/>
      </w:pPr>
      <w:r>
        <w:rPr>
          <w:b/>
          <w:bCs/>
          <w:color w:val="B00020"/>
        </w:rPr>
        <w:t xml:space="preserve">4（誤）</w:t>
      </w:r>
      <w:r>
        <w:t xml:space="preserve">　原著186～188頁は、実際より標準的な形を少なく使うと申告する傾向を含めた自己評価の結果を検討し、隠れた価値の解釈につなげています。結果を解釈から除いてはいません。</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記事は教師と学習者が画面を通じてコンピューターを操作すると説明し、学習者自身によるボードの使用や発表を例に挙げています。</w:t>
      </w:r>
    </w:p>
    <w:p>
      <w:pPr>
        <w:spacing w:after="100"/>
      </w:pPr>
      <w:r>
        <w:rPr>
          <w:b/>
          <w:bCs/>
          <w:color w:val="B00020"/>
        </w:rPr>
        <w:t xml:space="preserve">2（誤）</w:t>
      </w:r>
      <w:r>
        <w:t xml:space="preserve">　機器説明は教師と学習者の双方による操作を認めています。教師だけが使えるという限定は記事に合いません。</w:t>
      </w:r>
    </w:p>
    <w:p>
      <w:pPr>
        <w:spacing w:after="100"/>
      </w:pPr>
      <w:r>
        <w:rPr>
          <w:b/>
          <w:bCs/>
          <w:color w:val="B00020"/>
        </w:rPr>
        <w:t xml:space="preserve">3（誤）</w:t>
      </w:r>
      <w:r>
        <w:t xml:space="preserve">　記事の例では、学習者がボード上の音素記号をクリックして発音を聞き、語の発音を考えます。クリックを除く説明は逆です。</w:t>
      </w:r>
    </w:p>
    <w:p>
      <w:pPr>
        <w:spacing w:after="100"/>
      </w:pPr>
      <w:r>
        <w:rPr>
          <w:b/>
          <w:bCs/>
          <w:color w:val="B00020"/>
        </w:rPr>
        <w:t xml:space="preserve">4（誤）</w:t>
      </w:r>
      <w:r>
        <w:t xml:space="preserve">　記事は学習者自身による使用を重視し、学習者が授業の一部を進行する活動も挙げています。機器の導入だけで学習者中心になると保証しているわけではありません。</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養成課程コアカリキュラムの必須の教育内容（49項目）</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&lt;20&gt;日本語教師の資質・能力〜&lt;27&gt;授業計画、&lt;29&gt;中間言語分析〜&lt;36&gt;著作権（全16項目）。〈28〉教育実習は実践研修コアカリキュラムに位置付けられるため、養成課程の49項目には含めない。</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70"/>
      </w:pPr>
      <w:r>
        <w:rPr>
          <w:b/>
          <w:bCs/>
        </w:rPr>
        <w:t xml:space="preserve">アウトプット仮説　</w:t>
      </w:r>
      <w:r>
        <w:t xml:space="preserve">学習者が実際に発話・産出を行うことが、自らの知識不足への気づきを促し習得を助けるとする、スウェインの仮説。</w:t>
      </w:r>
    </w:p>
    <w:p>
      <w:pPr>
        <w:spacing w:after="70"/>
      </w:pPr>
      <w:r>
        <w:rPr>
          <w:b/>
          <w:bCs/>
        </w:rPr>
        <w:t xml:space="preserve">アカデミック・ジャパニーズ　</w:t>
      </w:r>
      <w:r>
        <w:t xml:space="preserve">大学等での講義理解やレポート作成など、学術的な場面で求められる日本語運用力。</w:t>
      </w:r>
    </w:p>
    <w:p>
      <w:pPr>
        <w:spacing w:after="70"/>
      </w:pPr>
      <w:r>
        <w:rPr>
          <w:b/>
          <w:bCs/>
        </w:rPr>
        <w:t xml:space="preserve">インタラクション仮説　</w:t>
      </w:r>
      <w:r>
        <w:t xml:space="preserve">学習者同士や教師とのやり取り（意味交渉）を通じてインプットが調整され、習得が促されるとする考え方。</w:t>
      </w:r>
    </w:p>
    <w:p>
      <w:pPr>
        <w:spacing w:after="70"/>
      </w:pPr>
      <w:r>
        <w:rPr>
          <w:b/>
          <w:bCs/>
        </w:rPr>
        <w:t xml:space="preserve">インプット仮説　</w:t>
      </w:r>
      <w:r>
        <w:t xml:space="preserve">学習者の現在のレベルよりやや高い、理解可能なインプット（i+1）が習得を促すとするクラッシェンの仮説。</w:t>
      </w:r>
    </w:p>
    <w:p>
      <w:pPr>
        <w:spacing w:after="70"/>
      </w:pPr>
      <w:r>
        <w:rPr>
          <w:b/>
          <w:bCs/>
        </w:rPr>
        <w:t xml:space="preserve">ウチ・ソト　</w:t>
      </w:r>
      <w:r>
        <w:t xml:space="preserve">自分の属する集団（ウチ）と外部（ソト）を区別し、待遇表現の使い分けに影響を与える日本語の対人関係の捉え方。</w:t>
      </w:r>
    </w:p>
    <w:p>
      <w:pPr>
        <w:spacing w:after="70"/>
      </w:pPr>
      <w:r>
        <w:rPr>
          <w:b/>
          <w:bCs/>
        </w:rPr>
        <w:t xml:space="preserve">オーディオリンガル・メソッド　</w:t>
      </w:r>
      <w:r>
        <w:t xml:space="preserve">行動主義心理学に基づき、パターン・プラクティスの反復で言語習慣を形成しようとする教授法。</w:t>
      </w:r>
    </w:p>
    <w:p>
      <w:pPr>
        <w:spacing w:after="70"/>
      </w:pPr>
      <w:r>
        <w:rPr>
          <w:b/>
          <w:bCs/>
        </w:rPr>
        <w:t xml:space="preserve">回避（アボイダンス）　</w:t>
      </w:r>
      <w:r>
        <w:t xml:space="preserve">学習者が自信のない言語形式の使用を避け、簡単な表現で済ませようとするコミュニケーション方略。</w:t>
      </w:r>
    </w:p>
    <w:p>
      <w:pPr>
        <w:spacing w:after="70"/>
      </w:pPr>
      <w:r>
        <w:rPr>
          <w:b/>
          <w:bCs/>
        </w:rPr>
        <w:t xml:space="preserve">化石化（フォシリゼーション）　</w:t>
      </w:r>
      <w:r>
        <w:t xml:space="preserve">特定の誤用パターンが学習の進展にもかかわらず修正されず定着してしまう現象。</w:t>
      </w:r>
    </w:p>
    <w:p>
      <w:pPr>
        <w:spacing w:after="70"/>
      </w:pPr>
      <w:r>
        <w:rPr>
          <w:b/>
          <w:bCs/>
        </w:rPr>
        <w:t xml:space="preserve">過剰般化　</w:t>
      </w:r>
      <w:r>
        <w:t xml:space="preserve">目標言語自体の規則を必要以上に広く適用してしまうことによる誤り（言語内の誤り）。</w:t>
      </w:r>
    </w:p>
    <w:p>
      <w:pPr>
        <w:spacing w:after="70"/>
      </w:pPr>
      <w:r>
        <w:rPr>
          <w:b/>
          <w:bCs/>
        </w:rPr>
        <w:t xml:space="preserve">カルチャーショック　</w:t>
      </w:r>
      <w:r>
        <w:t xml:space="preserve">異文化との接触によって生じる心理的な戸惑い・ストレス。適応の過程はU字カーブ等で説明される。</w:t>
      </w:r>
    </w:p>
    <w:p>
      <w:pPr>
        <w:spacing w:after="70"/>
      </w:pPr>
      <w:r>
        <w:rPr>
          <w:b/>
          <w:bCs/>
        </w:rPr>
        <w:t xml:space="preserve">気づき（ノーティシング）仮説　</w:t>
      </w:r>
      <w:r>
        <w:t xml:space="preserve">学習者が言語形式に意識的に気づくことが習得につながるとする考え方。</w:t>
      </w:r>
    </w:p>
    <w:p>
      <w:pPr>
        <w:spacing w:after="70"/>
      </w:pPr>
      <w:r>
        <w:rPr>
          <w:b/>
          <w:bCs/>
        </w:rPr>
        <w:t xml:space="preserve">帰納的アプローチ　</w:t>
      </w:r>
      <w:r>
        <w:t xml:space="preserve">複数の例文から学習者自身に文法規則を発見させる指導の進め方。演繹的アプローチと対をなす。</w:t>
      </w:r>
    </w:p>
    <w:p>
      <w:pPr>
        <w:spacing w:after="70"/>
      </w:pPr>
      <w:r>
        <w:rPr>
          <w:b/>
          <w:bCs/>
        </w:rPr>
        <w:t xml:space="preserve">逆カルチャーショック　</w:t>
      </w:r>
      <w:r>
        <w:t xml:space="preserve">海外生活等の後、自国の文化に再適応する際に生じる戸惑い・ストレス。</w:t>
      </w:r>
    </w:p>
    <w:p>
      <w:pPr>
        <w:spacing w:after="70"/>
      </w:pPr>
      <w:r>
        <w:rPr>
          <w:b/>
          <w:bCs/>
        </w:rPr>
        <w:t xml:space="preserve">教材のアダプテーション　</w:t>
      </w:r>
      <w:r>
        <w:t xml:space="preserve">既存の教材を学習者のレベル・目的に合わせて修正・調整すること。</w:t>
      </w:r>
    </w:p>
    <w:p>
      <w:pPr>
        <w:spacing w:after="70"/>
      </w:pPr>
      <w:r>
        <w:rPr>
          <w:b/>
          <w:bCs/>
        </w:rPr>
        <w:t xml:space="preserve">形成的評価　</w:t>
      </w:r>
      <w:r>
        <w:t xml:space="preserve">学習の途中で行い、指導の改善・調整に生かす評価。総括的評価と対をなす。</w:t>
      </w:r>
    </w:p>
    <w:p>
      <w:pPr>
        <w:spacing w:after="70"/>
      </w:pPr>
      <w:r>
        <w:rPr>
          <w:b/>
          <w:bCs/>
        </w:rPr>
        <w:t xml:space="preserve">結束性（コヒージョン）　</w:t>
      </w:r>
      <w:r>
        <w:t xml:space="preserve">接続詞・指示語など、文法的・語彙的な手段による文と文の形式的な結びつき。</w:t>
      </w:r>
    </w:p>
    <w:p>
      <w:pPr>
        <w:spacing w:after="70"/>
      </w:pPr>
      <w:r>
        <w:rPr>
          <w:b/>
          <w:bCs/>
        </w:rPr>
        <w:t xml:space="preserve">言語景観　</w:t>
      </w:r>
      <w:r>
        <w:t xml:space="preserve">街中の看板・標識等に使われる言語の状況を観察・分析する視点。</w:t>
      </w:r>
    </w:p>
    <w:p>
      <w:pPr>
        <w:spacing w:after="70"/>
      </w:pPr>
      <w:r>
        <w:rPr>
          <w:b/>
          <w:bCs/>
        </w:rPr>
        <w:t xml:space="preserve">言語シフト　</w:t>
      </w:r>
      <w:r>
        <w:t xml:space="preserve">移民の世代交代等を背景に、使用言語が別の言語へ徐々に置き換わっていく現象。</w:t>
      </w:r>
    </w:p>
    <w:p>
      <w:pPr>
        <w:spacing w:after="70"/>
      </w:pPr>
      <w:r>
        <w:rPr>
          <w:b/>
          <w:bCs/>
        </w:rPr>
        <w:t xml:space="preserve">言語態度　</w:t>
      </w:r>
      <w:r>
        <w:t xml:space="preserve">ある言語や変種、その話者に対して人々が抱く評価的な意識・感情。</w:t>
      </w:r>
    </w:p>
    <w:p>
      <w:pPr>
        <w:spacing w:after="70"/>
      </w:pPr>
      <w:r>
        <w:rPr>
          <w:b/>
          <w:bCs/>
        </w:rPr>
        <w:t xml:space="preserve">言語転移　</w:t>
      </w:r>
      <w:r>
        <w:t xml:space="preserve">母語の知識が目標言語の習得に影響を与える現象。正の転移と負の転移がある。</w:t>
      </w:r>
    </w:p>
    <w:p>
      <w:pPr>
        <w:spacing w:after="70"/>
      </w:pPr>
      <w:r>
        <w:rPr>
          <w:b/>
          <w:bCs/>
        </w:rPr>
        <w:t xml:space="preserve">言語の恣意性　</w:t>
      </w:r>
      <w:r>
        <w:t xml:space="preserve">言語音（シニフィアン）と意味（シニフィエ）の結びつきに必然的な理由がないこと。</w:t>
      </w:r>
    </w:p>
    <w:p>
      <w:pPr>
        <w:spacing w:after="70"/>
      </w:pPr>
      <w:r>
        <w:rPr>
          <w:b/>
          <w:bCs/>
        </w:rPr>
        <w:t xml:space="preserve">コード・スイッチング　</w:t>
      </w:r>
      <w:r>
        <w:t xml:space="preserve">会話の中で複数の言語・変種を切り替えて使用する現象。</w:t>
      </w:r>
    </w:p>
    <w:p>
      <w:pPr>
        <w:spacing w:after="70"/>
      </w:pPr>
      <w:r>
        <w:rPr>
          <w:b/>
          <w:bCs/>
        </w:rPr>
        <w:t xml:space="preserve">構造シラバス　</w:t>
      </w:r>
      <w:r>
        <w:t xml:space="preserve">文型・文法項目を易しいものから難しいものへ体系的に配列したシラバス。</w:t>
      </w:r>
    </w:p>
    <w:p>
      <w:pPr>
        <w:spacing w:after="70"/>
      </w:pPr>
      <w:r>
        <w:rPr>
          <w:b/>
          <w:bCs/>
        </w:rPr>
        <w:t xml:space="preserve">コロケーション（連語）　</w:t>
      </w:r>
      <w:r>
        <w:t xml:space="preserve">「風邪をひく」のように、ある語と結びついて自然な表現となる語の組み合わせ。</w:t>
      </w:r>
    </w:p>
    <w:p>
      <w:pPr>
        <w:spacing w:after="70"/>
      </w:pPr>
      <w:r>
        <w:rPr>
          <w:b/>
          <w:bCs/>
        </w:rPr>
        <w:t xml:space="preserve">コンピテンス（言語能力）とパフォーマンス（言語運用）　</w:t>
      </w:r>
      <w:r>
        <w:t xml:space="preserve">チョムスキーによる、理想化された言語知識と実際の発話行動の区別。</w:t>
      </w:r>
    </w:p>
    <w:p>
      <w:pPr>
        <w:spacing w:after="7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70"/>
      </w:pPr>
      <w:r>
        <w:rPr>
          <w:b/>
          <w:bCs/>
        </w:rPr>
        <w:t xml:space="preserve">サイレント・ウェイ　</w:t>
      </w:r>
      <w:r>
        <w:t xml:space="preserve">教師が極力沈黙し、学習者自身の気づきと自律性を重視する教授法。</w:t>
      </w:r>
    </w:p>
    <w:p>
      <w:pPr>
        <w:spacing w:after="70"/>
      </w:pPr>
      <w:r>
        <w:rPr>
          <w:b/>
          <w:bCs/>
        </w:rPr>
        <w:t xml:space="preserve">サジェストペディア　</w:t>
      </w:r>
      <w:r>
        <w:t xml:space="preserve">音楽やリラックスした環境を活用し、心理的抵抗を下げて学習効果を高めようとする教授法。</w:t>
      </w:r>
    </w:p>
    <w:p>
      <w:pPr>
        <w:spacing w:after="70"/>
      </w:pPr>
      <w:r>
        <w:rPr>
          <w:b/>
          <w:bCs/>
        </w:rPr>
        <w:t xml:space="preserve">自己効力感（セルフ・エフィカシー）　</w:t>
      </w:r>
      <w:r>
        <w:t xml:space="preserve">ある課題を達成できるという自分自身の能力に対する確信・見込み感。</w:t>
      </w:r>
    </w:p>
    <w:p>
      <w:pPr>
        <w:spacing w:after="70"/>
      </w:pPr>
      <w:r>
        <w:rPr>
          <w:b/>
          <w:bCs/>
        </w:rPr>
        <w:t xml:space="preserve">自動化（オートメイション）　</w:t>
      </w:r>
      <w:r>
        <w:t xml:space="preserve">練習の繰り返しにより、意識的な処理が徐々に無意識的・自動的に行えるようになる過程。</w:t>
      </w:r>
    </w:p>
    <w:p>
      <w:pPr>
        <w:spacing w:after="70"/>
      </w:pPr>
      <w:r>
        <w:rPr>
          <w:b/>
          <w:bCs/>
        </w:rPr>
        <w:t xml:space="preserve">自然習得順序仮説　</w:t>
      </w:r>
      <w:r>
        <w:t xml:space="preserve">文法項目の習得には指導の順序にかかわらず一定の自然な順序があるとする仮説。</w:t>
      </w:r>
    </w:p>
    <w:p>
      <w:pPr>
        <w:spacing w:after="70"/>
      </w:pPr>
      <w:r>
        <w:rPr>
          <w:b/>
          <w:bCs/>
        </w:rPr>
        <w:t xml:space="preserve">社会文化能力　</w:t>
      </w:r>
      <w:r>
        <w:t xml:space="preserve">その言語が使われる社会・文化的背景に関する知識と、それを踏まえた適切な言語使用の能力。</w:t>
      </w:r>
    </w:p>
    <w:p>
      <w:pPr>
        <w:spacing w:after="70"/>
      </w:pPr>
      <w:r>
        <w:rPr>
          <w:b/>
          <w:bCs/>
        </w:rPr>
        <w:t xml:space="preserve">情意フィルター仮説　</w:t>
      </w:r>
      <w:r>
        <w:t xml:space="preserve">不安等の情意的要因が高まると理解可能なインプットの取り込みを妨げるとするクラッシェンの仮説。</w:t>
      </w:r>
    </w:p>
    <w:p>
      <w:pPr>
        <w:spacing w:after="70"/>
      </w:pPr>
      <w:r>
        <w:rPr>
          <w:b/>
          <w:bCs/>
        </w:rPr>
        <w:t xml:space="preserve">シラバス　</w:t>
      </w:r>
      <w:r>
        <w:t xml:space="preserve">学習項目を一覧化したもの。構造・機能・話題・課題等、様々な種類がある。</w:t>
      </w:r>
    </w:p>
    <w:p>
      <w:pPr>
        <w:spacing w:after="70"/>
      </w:pPr>
      <w:r>
        <w:rPr>
          <w:b/>
          <w:bCs/>
        </w:rPr>
        <w:t xml:space="preserve">スキミング／スキャニング　</w:t>
      </w:r>
      <w:r>
        <w:t xml:space="preserve">文章の大意をつかむ読み方（スキミング）と、必要な情報を探し出す読み方（スキャニング）。</w:t>
      </w:r>
    </w:p>
    <w:p>
      <w:pPr>
        <w:spacing w:after="70"/>
      </w:pPr>
      <w:r>
        <w:rPr>
          <w:b/>
          <w:bCs/>
        </w:rPr>
        <w:t xml:space="preserve">スキーマ　</w:t>
      </w:r>
      <w:r>
        <w:t xml:space="preserve">個人が持つ、物事や出来事に関する体系化された既有知識・認知的枠組み。</w:t>
      </w:r>
    </w:p>
    <w:p>
      <w:pPr>
        <w:spacing w:after="70"/>
      </w:pPr>
      <w:r>
        <w:rPr>
          <w:b/>
          <w:bCs/>
        </w:rPr>
        <w:t xml:space="preserve">スピーチレベルシフト　</w:t>
      </w:r>
      <w:r>
        <w:t xml:space="preserve">同じ話し手が場面や相手に応じて丁寧体と普通体を切り替えて話す現象。</w:t>
      </w:r>
    </w:p>
    <w:p>
      <w:pPr>
        <w:spacing w:after="70"/>
      </w:pPr>
      <w:r>
        <w:rPr>
          <w:b/>
          <w:bCs/>
        </w:rPr>
        <w:t xml:space="preserve">生得説（普遍文法）　</w:t>
      </w:r>
      <w:r>
        <w:t xml:space="preserve">人間には言語を生得的に習得する能力が備わっているとするチョムスキーの考え方。</w:t>
      </w:r>
    </w:p>
    <w:p>
      <w:pPr>
        <w:spacing w:after="70"/>
      </w:pPr>
      <w:r>
        <w:rPr>
          <w:b/>
          <w:bCs/>
        </w:rPr>
        <w:t xml:space="preserve">総括的評価　</w:t>
      </w:r>
      <w:r>
        <w:t xml:space="preserve">コース終了時に到達度を総合的に判定するための評価。</w:t>
      </w:r>
    </w:p>
    <w:p>
      <w:pPr>
        <w:spacing w:after="7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70"/>
      </w:pPr>
      <w:r>
        <w:rPr>
          <w:b/>
          <w:bCs/>
        </w:rPr>
        <w:t xml:space="preserve">対照分析　</w:t>
      </w:r>
      <w:r>
        <w:t xml:space="preserve">母語と目標言語の構造上の相違点から、生じやすい誤用をあらかじめ予測しようとする分析方法。</w:t>
      </w:r>
    </w:p>
    <w:p>
      <w:pPr>
        <w:spacing w:after="70"/>
      </w:pPr>
      <w:r>
        <w:rPr>
          <w:b/>
          <w:bCs/>
        </w:rPr>
        <w:t xml:space="preserve">多文化共生　</w:t>
      </w:r>
      <w:r>
        <w:t xml:space="preserve">国籍・民族の異なる人々が互いを認め合いながら地域社会の対等な構成員として共に生きていくこと。</w:t>
      </w:r>
    </w:p>
    <w:p>
      <w:pPr>
        <w:spacing w:after="70"/>
      </w:pPr>
      <w:r>
        <w:rPr>
          <w:b/>
          <w:bCs/>
        </w:rPr>
        <w:t xml:space="preserve">中間言語（インターランゲージ）　</w:t>
      </w:r>
      <w:r>
        <w:t xml:space="preserve">学習者が習得過程で作り上げる、母語とも目標言語とも異なる独自の体系的な言語システム。</w:t>
      </w:r>
    </w:p>
    <w:p>
      <w:pPr>
        <w:spacing w:after="70"/>
      </w:pPr>
      <w:r>
        <w:rPr>
          <w:b/>
          <w:bCs/>
        </w:rPr>
        <w:t xml:space="preserve">直接テスト／間接テスト　</w:t>
      </w:r>
      <w:r>
        <w:t xml:space="preserve">言語運用そのものを課題として評価する直接テストと、別の指標を通して間接的に測る間接テスト。</w:t>
      </w:r>
    </w:p>
    <w:p>
      <w:pPr>
        <w:spacing w:after="70"/>
      </w:pPr>
      <w:r>
        <w:rPr>
          <w:b/>
          <w:bCs/>
        </w:rPr>
        <w:t>ディクトグロス</w:t>
      </w:r>
      <w:r/>
      <w:r>
        <w:rPr>
          <w:b w:val="0"/>
          <w:bCs/>
        </w:rPr>
        <w:t xml:space="preserve">　短いテキストを聞いてキーワードをメモし、そのメモを基に文章を再構成する活動。逐語的な書き取りではなく、典型例では再度聞いてメモした後、グループで再構成する。</w:t>
      </w:r>
    </w:p>
    <w:p>
      <w:pPr>
        <w:spacing w:after="70"/>
      </w:pPr>
      <w:r>
        <w:rPr>
          <w:b/>
          <w:bCs/>
        </w:rPr>
        <w:t xml:space="preserve">テンス（時制）とアスペクト（相）　</w:t>
      </w:r>
      <w:r>
        <w:t xml:space="preserve">出来事の時間的位置づけを示すテンスと、動作の進行・完了等の様相を示すアスペクト。</w:t>
      </w:r>
    </w:p>
    <w:p>
      <w:pPr>
        <w:spacing w:after="70"/>
      </w:pPr>
      <w:r>
        <w:rPr>
          <w:b/>
          <w:bCs/>
        </w:rPr>
        <w:t xml:space="preserve">トップダウン処理／ボトムアップ処理　</w:t>
      </w:r>
      <w:r>
        <w:t xml:space="preserve">既有知識から全体を予測する処理と、詳細情報を積み上げて意味を構成する処理。</w:t>
      </w:r>
    </w:p>
    <w:p>
      <w:pPr>
        <w:spacing w:after="70"/>
      </w:pPr>
      <w:r>
        <w:rPr>
          <w:b/>
          <w:bCs/>
        </w:rPr>
        <w:t xml:space="preserve">ナチュラル・アプローチ　</w:t>
      </w:r>
      <w:r>
        <w:t xml:space="preserve">理解可能なインプットを豊富に与え、自然な習得順序をたどらせることを重視する教授法。</w:t>
      </w:r>
    </w:p>
    <w:p>
      <w:pPr>
        <w:spacing w:after="70"/>
      </w:pPr>
      <w:r>
        <w:rPr>
          <w:b/>
          <w:bCs/>
        </w:rPr>
        <w:t>妥当性／信頼性</w:t>
      </w:r>
      <w:r/>
      <w:r>
        <w:rPr>
          <w:b w:val="0"/>
          <w:bCs/>
        </w:rPr>
        <w:t xml:space="preserve">　2014年版Testing Standardsでは、妥当性は、提案された用途に対するテスト得点の解釈を証拠と理論が支持する程度をいう。信頼性・精度は、測定手続を反復したときの得点の一貫性に関わり、課題・時点・採点者などによる変動を検討する。</w:t>
      </w:r>
    </w:p>
    <w:p>
      <w:pPr>
        <w:spacing w:after="70"/>
      </w:pPr>
      <w:r>
        <w:rPr>
          <w:b/>
          <w:bCs/>
        </w:rPr>
        <w:t xml:space="preserve">バックワード・デザイン（逆向き設計）　</w:t>
      </w:r>
      <w:r>
        <w:t xml:space="preserve">到達目標→評価方法→学習内容と教え方の順で設計するカリキュラムデザインの考え方。</w:t>
      </w:r>
    </w:p>
    <w:p>
      <w:pPr>
        <w:spacing w:after="70"/>
      </w:pPr>
      <w:r>
        <w:rPr>
          <w:b/>
          <w:bCs/>
        </w:rPr>
        <w:t>バーンアウト（燃え尽き症候群）</w:t>
      </w:r>
      <w:r/>
      <w:r>
        <w:rPr>
          <w:b w:val="0"/>
          <w:bCs/>
        </w:rPr>
        <w:t xml:space="preserve">　WHOのICD-11での位置付けでは、対処できていない慢性的な職場ストレスに関連する職業上の現象。疲弊、仕事への心理的距離の増大や否定的態度、職業上の効力感の低下という三側面で特徴付けられ、医学的疾患とは分類しない。この定義は生活の他領域の経験には適用しない。</w:t>
      </w:r>
    </w:p>
    <w:p>
      <w:pPr>
        <w:spacing w:after="70"/>
      </w:pPr>
      <w:r>
        <w:rPr>
          <w:b/>
          <w:bCs/>
        </w:rPr>
        <w:t xml:space="preserve">ピア評価（相互評価）　</w:t>
      </w:r>
      <w:r>
        <w:t xml:space="preserve">学習者同士が互いの発表や作品を評価し合う方法。</w:t>
      </w:r>
    </w:p>
    <w:p>
      <w:pPr>
        <w:spacing w:after="70"/>
      </w:pPr>
      <w:r>
        <w:rPr>
          <w:b/>
          <w:bCs/>
        </w:rPr>
        <w:t xml:space="preserve">非言語コミュニケーション　</w:t>
      </w:r>
      <w:r>
        <w:t xml:space="preserve">身振り・表情・視線・パラ言語など、言葉を伴わない伝達手段。</w:t>
      </w:r>
    </w:p>
    <w:p>
      <w:pPr>
        <w:spacing w:after="70"/>
      </w:pPr>
      <w:r>
        <w:rPr>
          <w:b/>
          <w:bCs/>
        </w:rPr>
        <w:t xml:space="preserve">ビリーフ（学習観・信念）　</w:t>
      </w:r>
      <w:r>
        <w:t xml:space="preserve">学習者や教師が学習・指導に対して抱く信念。学習行動に影響を与える。</w:t>
      </w:r>
    </w:p>
    <w:p>
      <w:pPr>
        <w:spacing w:after="70"/>
      </w:pPr>
      <w:r>
        <w:rPr>
          <w:b/>
          <w:bCs/>
        </w:rPr>
        <w:t xml:space="preserve">複言語主義　</w:t>
      </w:r>
      <w:r>
        <w:t xml:space="preserve">個人が複数の言語を状況に応じて部分的にでも使い分ける能力を価値あるものとして捉える考え方。</w:t>
      </w:r>
    </w:p>
    <w:p>
      <w:pPr>
        <w:spacing w:after="70"/>
      </w:pPr>
      <w:r>
        <w:rPr>
          <w:b/>
          <w:bCs/>
        </w:rPr>
        <w:t xml:space="preserve">プロトタイプ理論　</w:t>
      </w:r>
      <w:r>
        <w:t xml:space="preserve">あるカテゴリーの中に、より典型的な例（プロトタイプ）とそうでない例が存在するとする考え方。</w:t>
      </w:r>
    </w:p>
    <w:p>
      <w:pPr>
        <w:spacing w:after="70"/>
      </w:pPr>
      <w:r>
        <w:rPr>
          <w:b/>
          <w:bCs/>
        </w:rPr>
        <w:t xml:space="preserve">ポートフォリオ評価　</w:t>
      </w:r>
      <w:r>
        <w:t xml:space="preserve">学習者の作品・記録を継続的に蓄積し、学習過程全体を通して能力や成長を評価する方法。</w:t>
      </w:r>
    </w:p>
    <w:p>
      <w:pPr>
        <w:spacing w:after="70"/>
      </w:pPr>
      <w:r>
        <w:rPr>
          <w:b/>
          <w:bCs/>
        </w:rPr>
        <w:t xml:space="preserve">ポライトネス理論　</w:t>
      </w:r>
      <w:r>
        <w:t xml:space="preserve">対人関係上の欲求（フェイス）に配慮したコミュニケーション上の方略を説明する理論。</w:t>
      </w:r>
    </w:p>
    <w:p>
      <w:pPr>
        <w:spacing w:after="70"/>
      </w:pPr>
      <w:r>
        <w:rPr>
          <w:b/>
          <w:bCs/>
        </w:rPr>
        <w:t xml:space="preserve">ボイス（態）　</w:t>
      </w:r>
      <w:r>
        <w:t xml:space="preserve">能動・受身・使役など、動作主と動作を受ける者との関係を表す文法カテゴリー。</w:t>
      </w:r>
    </w:p>
    <w:p>
      <w:pPr>
        <w:spacing w:after="70"/>
      </w:pPr>
      <w:r>
        <w:rPr>
          <w:b/>
          <w:bCs/>
        </w:rPr>
        <w:t>モダリティ</w:t>
      </w:r>
      <w:r/>
      <w:r>
        <w:rPr>
          <w:b w:val="0"/>
          <w:bCs/>
        </w:rPr>
        <w:t xml:space="preserve">　井上優「モダリティ」の整理では、命題内容に対する話し手の判断や、発話・伝達の態度に関わる意味をいう。ムードと呼ぶ場合もあるが、ムードを述語の形態に限って用いる場合もある。</w:t>
      </w:r>
    </w:p>
    <w:p>
      <w:pPr>
        <w:spacing w:after="70"/>
      </w:pPr>
      <w:r>
        <w:rPr>
          <w:b/>
          <w:bCs/>
        </w:rPr>
        <w:t>役割語</w:t>
      </w:r>
      <w:r/>
      <w:r>
        <w:rPr>
          <w:b w:val="0"/>
          <w:bCs/>
        </w:rPr>
        <w:t xml:space="preserve">　特定の言葉遣いと人物像とのステレオタイプ的な結び付き。言葉遣いから人物像を、人物像からその人らしい言葉遣いを連想する。フィクションに限られず、現実の会話にも関わる。</w:t>
      </w:r>
    </w:p>
    <w:p>
      <w:pPr>
        <w:spacing w:after="70"/>
      </w:pPr>
      <w:r>
        <w:rPr>
          <w:b/>
          <w:bCs/>
        </w:rPr>
        <w:t>リキャストとプロンプト</w:t>
      </w:r>
      <w:r/>
      <w:r>
        <w:rPr>
          <w:b w:val="0"/>
          <w:bCs/>
        </w:rPr>
        <w:t xml:space="preserve">　LysterとMori（2006）の分類では、リキャストは学習者の発話の全部または一部を暗示的に言い換え、目標となる形を示す。プロンプトは正しい形を与えず、誘導や明確化要求などの手掛かりで学習者自身の言い直しを促す。いずれも、使っただけで修正や習得が保証されるわけではない。</w:t>
      </w:r>
    </w:p>
    <w:p>
      <w:pPr>
        <w:spacing w:after="70"/>
      </w:pPr>
      <w:r>
        <w:rPr>
          <w:b/>
          <w:bCs/>
        </w:rPr>
        <w:t xml:space="preserve">リンガフランカ　</w:t>
      </w:r>
      <w:r>
        <w:t xml:space="preserve">異なる母語を持つ人々がコミュニケーションのために使用する共通語。</w:t>
      </w:r>
    </w:p>
    <w:p>
      <w:pPr>
        <w:spacing w:after="70"/>
      </w:pPr>
      <w:r>
        <w:rPr>
          <w:b/>
          <w:bCs/>
        </w:rPr>
        <w:t xml:space="preserve">ルーブリック　</w:t>
      </w:r>
      <w:r>
        <w:t xml:space="preserve">評価の観点と到達レベルの目安を段階的に記述した評価基準表。</w:t>
      </w:r>
    </w:p>
    <w:p>
      <w:pPr>
        <w:spacing w:after="70"/>
      </w:pPr>
      <w:r>
        <w:rPr>
          <w:b/>
          <w:bCs/>
        </w:rPr>
        <w:t xml:space="preserve">レディネス調査　</w:t>
      </w:r>
      <w:r>
        <w:t xml:space="preserve">コース開始前に学習者の既習歴・学習環境等の条件を把握する調査。ニーズ分析と対をなす。</w:t>
      </w:r>
    </w:p>
    <w:p>
      <w:pPr>
        <w:spacing w:after="70"/>
      </w:pPr>
      <w:r>
        <w:rPr>
          <w:b/>
          <w:bCs/>
        </w:rPr>
        <w:t>連濁</w:t>
      </w:r>
      <w:r/>
      <w:r>
        <w:rPr>
          <w:b w:val="0"/>
          <w:bCs/>
        </w:rPr>
        <w:t xml:space="preserve">　複合語の後部要素の最初の清音が濁音に変わる現象。例：「鼻（はな）」＋「血（ち）」→「鼻血（はなぢ）」。</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