
<file path=[Content_Types].xml><?xml version="1.0" encoding="utf-8"?>
<Types xmlns="http://schemas.openxmlformats.org/package/2006/content-types">
  <Default Extension="wmf" ContentType="image/x-wmf"/>
  <Default Extension="gif" ContentType="image/gi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word/people.xml" ContentType="application/vnd.openxmlformats-officedocument.wordprocessingml.peop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commentsExtensible.xml" ContentType="application/vnd.openxmlformats-officedocument.wordprocessingml.commentsExtensi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 w:hanging="720" w:left="720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2025 Taiwan THz Summer Workshop Website Info</w:t>
      </w:r>
      <w:r>
        <w:rPr>
          <w:rFonts w:ascii="Calibri" w:hAnsi="Calibri" w:cs="Calibri"/>
          <w:b/>
          <w:bCs/>
        </w:rPr>
      </w:r>
    </w:p>
    <w:p>
      <w:pPr>
        <w:pBdr/>
        <w:spacing/>
        <w:ind/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Follow ACUPs Template (</w:t>
      </w:r>
      <w:hyperlink r:id="rId9" w:tooltip="https://www.acup2025.com/" w:history="1">
        <w:r>
          <w:rPr>
            <w:rStyle w:val="693"/>
            <w:rFonts w:ascii="Calibri" w:hAnsi="Calibri" w:cs="Calibri"/>
          </w:rPr>
          <w:t xml:space="preserve">https://www.acup2025.com/</w:t>
        </w:r>
      </w:hyperlink>
      <w:r>
        <w:rPr>
          <w:rFonts w:ascii="Calibri" w:hAnsi="Calibri" w:cs="Calibri"/>
        </w:rPr>
        <w:t xml:space="preserve">)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  <w:b/>
          <w:bCs/>
          <w:color w:val="ff0000"/>
        </w:rPr>
      </w:pPr>
      <w:r>
        <w:rPr>
          <w:rFonts w:ascii="Calibri" w:hAnsi="Calibri" w:cs="Calibri"/>
          <w:b/>
          <w:bCs/>
          <w:color w:val="ff0000"/>
        </w:rPr>
        <w:t xml:space="preserve">Home</w:t>
      </w:r>
      <w:r>
        <w:rPr>
          <w:rFonts w:ascii="Calibri" w:hAnsi="Calibri" w:cs="Calibri"/>
          <w:b/>
          <w:bCs/>
          <w:color w:val="ff0000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2025 Taiwan THz Summer Workshop | June 26th - June 2</w:t>
      </w:r>
      <w:r>
        <w:rPr>
          <w:rFonts w:ascii="Calibri" w:hAnsi="Calibri" w:cs="Calibri"/>
        </w:rPr>
        <w:t xml:space="preserve">8</w:t>
      </w:r>
      <w:r>
        <w:rPr>
          <w:rFonts w:ascii="Calibri" w:hAnsi="Calibri" w:cs="Calibri"/>
        </w:rPr>
        <w:t xml:space="preserve">th, 2025, Hsinchu, Taiwan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  <w:color w:val="00b050"/>
        </w:rPr>
      </w:pPr>
      <w:r>
        <w:rPr>
          <w:rFonts w:ascii="Calibri" w:hAnsi="Calibri" w:cs="Calibri"/>
          <w:color w:val="00b050"/>
        </w:rPr>
        <w:t xml:space="preserve">(THz Workshop Intro)</w:t>
      </w:r>
      <w:r>
        <w:rPr>
          <w:rFonts w:ascii="Calibri" w:hAnsi="Calibri" w:cs="Calibri"/>
          <w:color w:val="00b050"/>
        </w:rPr>
        <w:t xml:space="preserve"> TBD</w:t>
      </w:r>
      <w:r>
        <w:rPr>
          <w:rFonts w:ascii="Calibri" w:hAnsi="Calibri" w:cs="Calibri"/>
          <w:color w:val="00b050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Conference Chair: </w:t>
      </w:r>
      <w:r>
        <w:rPr>
          <w:rFonts w:ascii="Calibri" w:hAnsi="Calibri" w:cs="Calibri"/>
          <w:b/>
          <w:bCs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Shang-Hua Yang (National Tsing Hua University, Taiwan)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Conference co-Chair:</w:t>
      </w:r>
      <w:r>
        <w:rPr>
          <w:rFonts w:ascii="Calibri" w:hAnsi="Calibri" w:cs="Calibri"/>
          <w:b/>
          <w:bCs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Chih-Wei Luo (National Yang Ming Chiao Tung University, Taiwan)</w:t>
      </w:r>
      <w:r>
        <w:rPr>
          <w:rFonts w:ascii="Calibri" w:hAnsi="Calibri" w:cs="Calibri"/>
        </w:rPr>
      </w:r>
    </w:p>
    <w:p>
      <w:pPr>
        <w:pBdr/>
        <w:spacing/>
        <w:ind w:hanging="720" w:left="72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Conference Secretary: </w:t>
      </w:r>
      <w:r>
        <w:rPr>
          <w:rFonts w:ascii="Calibri" w:hAnsi="Calibri" w:cs="Calibri"/>
          <w:b/>
          <w:bCs/>
        </w:rPr>
      </w:r>
    </w:p>
    <w:p>
      <w:pPr>
        <w:pBdr/>
        <w:spacing/>
        <w:ind w:hanging="720" w:left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Shelly Lee (THz Optics &amp; Photonics Center, Taiwan)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Organizing Committee:</w:t>
      </w:r>
      <w:r>
        <w:rPr>
          <w:rFonts w:ascii="Calibri" w:hAnsi="Calibri" w:cs="Calibri"/>
          <w:b/>
          <w:bCs/>
        </w:rPr>
      </w:r>
    </w:p>
    <w:p>
      <w:pPr>
        <w:pBdr/>
        <w:spacing/>
        <w:ind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Chair</w:t>
      </w:r>
      <w:r>
        <w:rPr>
          <w:rFonts w:ascii="Calibri" w:hAnsi="Calibri" w:cs="Calibri"/>
          <w:b/>
          <w:bCs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Rayko Ivanov Stantchev (National Sun Yat-sen University, Taiwan)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Members</w:t>
      </w:r>
      <w:r>
        <w:rPr>
          <w:rFonts w:ascii="Calibri" w:hAnsi="Calibri" w:cs="Calibri"/>
          <w:b/>
          <w:bCs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Hsin-Yu Yao (National Chung Cheng University, Taiwan) 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Chun-Hsing Li (National Taiwan University, Taiwan)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Chien-Nan Kuo (National Yang Ming Chiao Tung University</w:t>
      </w:r>
      <w:r>
        <w:rPr>
          <w:rFonts w:ascii="Calibri" w:hAnsi="Calibri" w:cs="Calibri"/>
        </w:rPr>
        <w:t xml:space="preserve">, Taiwan</w:t>
      </w:r>
      <w:r>
        <w:rPr>
          <w:rFonts w:ascii="Calibri" w:hAnsi="Calibri" w:cs="Calibri"/>
        </w:rPr>
        <w:t xml:space="preserve">)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Chien-Ming Tu (National Yang Ming Chiao Tung University</w:t>
      </w:r>
      <w:r>
        <w:rPr>
          <w:rFonts w:ascii="Calibri" w:hAnsi="Calibri" w:cs="Calibri"/>
        </w:rPr>
        <w:t xml:space="preserve">, Taiwan</w:t>
      </w:r>
      <w:r>
        <w:rPr>
          <w:rFonts w:ascii="Calibri" w:hAnsi="Calibri" w:cs="Calibri"/>
        </w:rPr>
        <w:t xml:space="preserve">)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 xml:space="preserve">Organized by:</w:t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t xml:space="preserve">Department of Electrical Engineering, National Tsing Hua University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 xml:space="preserve">Co-organized by:</w:t>
      </w:r>
      <w:r>
        <w:rPr>
          <w:rFonts w:ascii="Calibri" w:hAnsi="Calibri" w:cs="Calibri"/>
        </w:rPr>
        <w:br/>
        <w:t xml:space="preserve">Department of Electrophysics</w:t>
      </w:r>
      <w:r>
        <w:rPr>
          <w:rFonts w:ascii="Calibri" w:hAnsi="Calibri" w:cs="Calibri"/>
        </w:rPr>
        <w:t xml:space="preserve">, National Yang Ming Chiao Tung University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THz</w:t>
      </w:r>
      <w:r>
        <w:rPr>
          <w:rFonts w:ascii="Calibri" w:hAnsi="Calibri" w:cs="Calibri"/>
        </w:rPr>
        <w:t xml:space="preserve"> Optics &amp; Photonics Center, National Tsing Hua University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Intelligent Sensor Alliance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Sponsored by:</w:t>
      </w:r>
      <w:r>
        <w:rPr>
          <w:rFonts w:ascii="Calibri" w:hAnsi="Calibri" w:cs="Calibri"/>
          <w:b/>
          <w:bCs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Physics Research Promotion Center, National Science and Technology Council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Terahertz Optics &amp; Photonics Center, National Tsing Hua University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Intelligent Sensor Alliance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(LOGO)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402080" cy="1402080"/>
                <wp:effectExtent l="0" t="0" r="0" b="0"/>
                <wp:docPr id="1" name="Picture 1" descr="A purple seal with text and symbols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5785468" name="Picture 1" descr="A purple seal with text and symbols&#10;&#10;AI-generated content may be incorrect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1402080" cy="1402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110.40pt;height:110.40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Calibri" w:hAnsi="Calibri" w:cs="Calibri"/>
        </w:rPr>
        <w:t xml:space="preserve">   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069080" cy="842074"/>
                <wp:effectExtent l="0" t="0" r="0" b="0"/>
                <wp:docPr id="2" name="Picture 3" descr="A black and white logo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676845" name="Picture 3" descr="A black and white logo&#10;&#10;AI-generated content may be incorrect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4106450" cy="8498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320.40pt;height:66.31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798320" cy="1798320"/>
                <wp:effectExtent l="0" t="0" r="0" b="0"/>
                <wp:docPr id="3" name="Picture 2" descr="A blue text on a black background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8452133" name="Picture 2" descr="A blue text on a black background&#10;&#10;AI-generated content may be incorrect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1798320" cy="1798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141.60pt;height:141.60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Calibri" w:hAnsi="Calibri" w:cs="Calibr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18000" cy="1206500"/>
                <wp:effectExtent l="0" t="0" r="0" b="0"/>
                <wp:docPr id="4" name="Picture 4" descr="A logo with text on it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7045522" name="Picture 4" descr="A logo with text on it&#10;&#10;AI-generated content may be incorrect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4318000" cy="1206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40.00pt;height:95.00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706880" cy="1706880"/>
                <wp:effectExtent l="0" t="0" r="0" b="0"/>
                <wp:docPr id="5" name="Picture 1" descr="A circular logo with lines and text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2273045" name="Picture 1" descr="A circular logo with lines and text&#10;&#10;AI-generated content may be incorrect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1706880" cy="1706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134.40pt;height:134.40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Speaker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Jong-Shinn Wu (Taiwan Space Agency, Taiwan)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Joo-Hiuk Son (University of Seoul, Korea)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Minah Seo (Korea Institute of Science and Technology, Korea)</w:t>
      </w:r>
      <w:r>
        <w:rPr>
          <w:rFonts w:ascii="Calibri" w:hAnsi="Calibri" w:cs="Calibri"/>
        </w:rPr>
      </w:r>
    </w:p>
    <w:p>
      <w:pPr>
        <w:pBdr/>
        <w:tabs>
          <w:tab w:val="left" w:leader="none" w:pos="6744"/>
        </w:tabs>
        <w:spacing/>
        <w:ind/>
        <w:rPr>
          <w:rFonts w:ascii="Calibri" w:hAnsi="Calibri" w:cs="Calibri"/>
          <w:color w:val="00b050"/>
        </w:rPr>
      </w:pPr>
      <w:r>
        <w:rPr>
          <w:rFonts w:ascii="Calibri" w:hAnsi="Calibri" w:cs="Calibri"/>
          <w:color w:val="00b050"/>
        </w:rPr>
        <w:t xml:space="preserve">Denis Bandurin (National University of Singapore, Singapore)  - TBD</w:t>
      </w:r>
      <w:r>
        <w:rPr>
          <w:rFonts w:ascii="Calibri" w:hAnsi="Calibri" w:cs="Calibri"/>
          <w:color w:val="00b050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Shang-Hua Yang (National Tsing Hua University, Taiwan)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Chih-Wei Luo (National Yang Ming Chiao Tung University, Taiwan)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Hsin-Yu Yao (National Chung Cheng University, Taiwan) 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Chun-Hsing Li (National Taiwan University, Taiwan)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Chien-Ming Tu (National Yang Ming Chiao Tung University, Taiwan)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Chia-Yi Huang (Tunghai University, Taiwan)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Chia-Yi Yeh (National Taiwan University, Taiwan)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Hai-Han Lu (National Taipei University of Technology, Taiwan)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Tsun-Hsu Chang (National Tsing Hua University, Taiwan)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  <w:b/>
          <w:bCs/>
          <w:color w:val="ff0000"/>
        </w:rPr>
      </w:pPr>
      <w:r>
        <w:rPr>
          <w:rFonts w:ascii="Calibri" w:hAnsi="Calibri" w:cs="Calibri"/>
          <w:b/>
          <w:bCs/>
          <w:color w:val="ff0000"/>
        </w:rPr>
        <w:t xml:space="preserve">Venue</w:t>
      </w:r>
      <w:r>
        <w:rPr>
          <w:rFonts w:ascii="Calibri" w:hAnsi="Calibri" w:cs="Calibri"/>
          <w:b/>
          <w:bCs/>
          <w:color w:val="ff0000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Venue</w:t>
      </w:r>
      <w:r>
        <w:rPr>
          <w:rFonts w:ascii="Calibri" w:hAnsi="Calibri" w:cs="Calibri"/>
          <w:b/>
          <w:bCs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SC001 (B1), </w:t>
      </w:r>
      <w:r>
        <w:rPr>
          <w:rFonts w:ascii="Calibri" w:hAnsi="Calibri" w:cs="Calibri"/>
        </w:rPr>
        <w:t xml:space="preserve">NYCU Science Building III, No 1001, University Rd., Hsinchu 300, Taiwan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Google maps link: </w:t>
      </w:r>
      <w:r>
        <w:rPr>
          <w:rFonts w:ascii="Calibri" w:hAnsi="Calibri" w:cs="Calibri"/>
          <w:color w:val="0432ff"/>
          <w:u w:val="single"/>
        </w:rPr>
        <w:t xml:space="preserve">https://maps.app.goo.gl/bjYWRc1ZWxxqwe257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</w:r>
      <w:r>
        <w:rPr>
          <w:rFonts w:ascii="Calibri" w:hAnsi="Calibri" w:cs="Calibri"/>
          <w:b/>
          <w:bCs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國立陽明交通大學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科學三館</w:t>
      </w:r>
      <w:r>
        <w:rPr>
          <w:rFonts w:ascii="Calibri" w:hAnsi="Calibri" w:cs="Calibri"/>
        </w:rPr>
        <w:t xml:space="preserve"> (B1 </w:t>
      </w:r>
      <w:r>
        <w:rPr>
          <w:rFonts w:ascii="Calibri" w:hAnsi="Calibri" w:cs="Calibri"/>
        </w:rPr>
        <w:t xml:space="preserve">次軒廳</w:t>
      </w:r>
      <w:r>
        <w:rPr>
          <w:rFonts w:ascii="Calibri" w:hAnsi="Calibri" w:cs="Calibri"/>
        </w:rPr>
        <w:t xml:space="preserve"> )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695575"/>
                <wp:effectExtent l="0" t="0" r="0" b="0"/>
                <wp:docPr id="6" name="Picture 5" descr="A building with many windows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9002556" name="Picture 5" descr="A building with many windows&#10;&#10;AI-generated content may be incorrect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3600" cy="2695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8.00pt;height:212.25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Accommodation</w:t>
      </w:r>
      <w:r>
        <w:rPr>
          <w:rFonts w:ascii="Calibri" w:hAnsi="Calibri" w:cs="Calibri"/>
          <w:b/>
          <w:bCs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THE HO HOTEL</w:t>
      </w:r>
      <w:r>
        <w:rPr>
          <w:rFonts w:ascii="Calibri" w:hAnsi="Calibri" w:cs="Calibri"/>
        </w:rPr>
        <w:t xml:space="preserve"> (Hotel/HSR Free Shuttle Service)</w:t>
      </w:r>
      <w:r>
        <w:rPr>
          <w:rFonts w:ascii="Calibri" w:hAnsi="Calibri" w:cs="Calibri"/>
        </w:rPr>
      </w:r>
    </w:p>
    <w:p>
      <w:pPr>
        <w:pBdr/>
        <w:spacing/>
        <w:ind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THE HO HOTEL is th</w:t>
      </w:r>
      <w:r>
        <w:rPr>
          <w:rFonts w:ascii="Calibri" w:hAnsi="Calibri" w:cs="Calibri"/>
        </w:rPr>
        <w:t xml:space="preserve">e official accommodation for the 2025 Taiwan THz Summer Workshop, offering special reduced rates and essential assistance with your reservation. To book a room, please contact the conference secretary, Shelly Lee, at jh.lee@gapp.nthu.edu.tw, before May 30.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Address: No.16, Daxue Rd., East Dist., Hsinchu City 300, Taiwan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Tel: +886-3-571-5888</w:t>
      </w:r>
      <w:r>
        <w:rPr>
          <w:rFonts w:ascii="Calibri" w:hAnsi="Calibri" w:cs="Calibri"/>
        </w:rPr>
        <w:t xml:space="preserve"> Email: fo@thehohotel.com.tw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Google map location: </w:t>
      </w:r>
      <w:hyperlink r:id="rId16" w:tooltip="https://maps.app.goo.gl/owuETkkwNpegJh458" w:history="1">
        <w:r>
          <w:rPr>
            <w:rStyle w:val="693"/>
            <w:rFonts w:ascii="Calibri" w:hAnsi="Calibri" w:cs="Calibri"/>
            <w:color w:val="0432ff"/>
          </w:rPr>
          <w:t xml:space="preserve">https://maps.app.goo.gl/owuETkkwNpegJh458</w:t>
        </w:r>
      </w:hyperlink>
      <w:r/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和選旅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地址</w:t>
      </w:r>
      <w:r>
        <w:rPr>
          <w:rFonts w:ascii="Calibri" w:hAnsi="Calibri" w:cs="Calibri"/>
        </w:rPr>
        <w:t xml:space="preserve">300</w:t>
      </w:r>
      <w:r>
        <w:rPr>
          <w:rFonts w:ascii="Calibri" w:hAnsi="Calibri" w:cs="Calibri"/>
        </w:rPr>
        <w:t xml:space="preserve">新竹市大學路</w:t>
      </w:r>
      <w:r>
        <w:rPr>
          <w:rFonts w:ascii="Calibri" w:hAnsi="Calibri" w:cs="Calibri"/>
        </w:rPr>
        <w:t xml:space="preserve">16</w:t>
      </w:r>
      <w:r>
        <w:rPr>
          <w:rFonts w:ascii="Calibri" w:hAnsi="Calibri" w:cs="Calibri"/>
        </w:rPr>
        <w:t xml:space="preserve">號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電話</w:t>
      </w:r>
      <w:r>
        <w:rPr>
          <w:rFonts w:ascii="Calibri" w:hAnsi="Calibri" w:cs="Calibri"/>
        </w:rPr>
        <w:t xml:space="preserve">03-5715888 </w:t>
      </w:r>
      <w:r>
        <w:rPr>
          <w:rFonts w:ascii="Calibri" w:hAnsi="Calibri" w:cs="Calibri"/>
        </w:rPr>
        <w:t xml:space="preserve">信箱</w:t>
      </w:r>
      <w:r>
        <w:rPr>
          <w:rFonts w:ascii="Calibri" w:hAnsi="Calibri" w:cs="Calibri"/>
        </w:rPr>
        <w:t xml:space="preserve">fo@thehohotel.com.tw 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Transportation Guide</w:t>
      </w:r>
      <w:r>
        <w:rPr>
          <w:rFonts w:ascii="Calibri" w:hAnsi="Calibri" w:cs="Calibri"/>
          <w:b/>
          <w:bCs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Travel between the Hotel and Conference Venue</w:t>
      </w:r>
      <w:r>
        <w:rPr>
          <w:rFonts w:ascii="Calibri" w:hAnsi="Calibri" w:cs="Calibri"/>
        </w:rPr>
        <w:t xml:space="preserve"> (12 minutes walk)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567815"/>
                <wp:effectExtent l="0" t="0" r="0" b="0"/>
                <wp:docPr id="7" name="Picture 7" descr="A map of a city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8198464" name="Picture 7" descr="A map of a city&#10;&#10;AI-generated content may be incorrect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3600" cy="15678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8.00pt;height:123.45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ascii="Calibri" w:hAnsi="Calibri" w:cs="Calibri"/>
          <w:b/>
          <w:bCs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</w:r>
      <w:r>
        <w:rPr>
          <w:rFonts w:ascii="Calibri" w:hAnsi="Calibri" w:cs="Calibri"/>
        </w:rPr>
      </w:r>
    </w:p>
    <w:p>
      <w:pPr>
        <w:pBdr/>
        <w:spacing/>
        <w:ind/>
        <w:jc w:val="center"/>
        <w:rPr>
          <w:rFonts w:ascii="Calibri" w:hAnsi="Calibri" w:cs="Calibri"/>
          <w:b/>
          <w:bCs/>
          <w:color w:val="ff0000"/>
        </w:rPr>
      </w:pPr>
      <w:r>
        <w:rPr>
          <w:rFonts w:ascii="Calibri" w:hAnsi="Calibri" w:cs="Calibri"/>
          <w:b/>
          <w:bCs/>
          <w:color w:val="ff0000"/>
        </w:rPr>
        <w:t xml:space="preserve">From Taoyuan Airport to THE HO HOTEL</w:t>
      </w:r>
      <w:r>
        <w:rPr>
          <w:rFonts w:ascii="Calibri" w:hAnsi="Calibri" w:cs="Calibri"/>
          <w:b/>
          <w:bCs/>
          <w:color w:val="ff0000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Method 1: Taxi (direct)</w:t>
      </w:r>
      <w:r>
        <w:rPr>
          <w:rFonts w:ascii="Calibri" w:hAnsi="Calibri" w:cs="Calibri"/>
          <w:b/>
          <w:bCs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to the THE HO HOTEL (</w:t>
      </w:r>
      <w:r>
        <w:rPr>
          <w:rFonts w:ascii="Calibri" w:hAnsi="Calibri" w:cs="Calibri"/>
        </w:rPr>
        <w:t xml:space="preserve">和選旅</w:t>
      </w:r>
      <w:r>
        <w:rPr>
          <w:rFonts w:ascii="Calibri" w:hAnsi="Calibri" w:cs="Calibri"/>
        </w:rPr>
        <w:t xml:space="preserve">)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Duration: 40–60 minutes (depending on traffic).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Cost: NT$1</w:t>
      </w:r>
      <w:r>
        <w:rPr>
          <w:rFonts w:ascii="Calibri" w:hAnsi="Calibri" w:cs="Calibri"/>
        </w:rPr>
        <w:t xml:space="preserve">,</w:t>
      </w:r>
      <w:r>
        <w:rPr>
          <w:rFonts w:ascii="Calibri" w:hAnsi="Calibri" w:cs="Calibri"/>
        </w:rPr>
        <w:t xml:space="preserve">200–1,500.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Method 2: Bus </w:t>
      </w:r>
      <w:r>
        <w:rPr>
          <w:rFonts w:ascii="Calibri" w:hAnsi="Calibri" w:cs="Calibri"/>
          <w:b/>
          <w:bCs/>
        </w:rPr>
        <w:t xml:space="preserve">+ Walk (9 mins)</w:t>
      </w:r>
      <w:r>
        <w:rPr>
          <w:rFonts w:ascii="Calibri" w:hAnsi="Calibri" w:cs="Calibri"/>
          <w:b/>
          <w:bCs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1. Take the </w:t>
      </w:r>
      <w:r>
        <w:rPr>
          <w:rFonts w:ascii="Calibri" w:hAnsi="Calibri" w:cs="Calibri"/>
        </w:rPr>
        <w:t xml:space="preserve">Bus</w:t>
      </w:r>
      <w:r>
        <w:rPr>
          <w:rFonts w:ascii="Calibri" w:hAnsi="Calibri" w:cs="Calibri"/>
        </w:rPr>
        <w:t xml:space="preserve"> (</w:t>
      </w:r>
      <w:r>
        <w:rPr>
          <w:rFonts w:ascii="Calibri" w:hAnsi="Calibri" w:cs="Calibri"/>
        </w:rPr>
        <w:t xml:space="preserve">#1250, RI HAO BUS</w:t>
      </w:r>
      <w:r>
        <w:rPr>
          <w:rFonts w:ascii="Calibri" w:hAnsi="Calibri" w:cs="Calibri"/>
        </w:rPr>
        <w:t xml:space="preserve">) from </w:t>
      </w:r>
      <w:r>
        <w:rPr>
          <w:rFonts w:ascii="Calibri" w:hAnsi="Calibri" w:cs="Calibri"/>
          <w:b/>
          <w:bCs/>
        </w:rPr>
        <w:t xml:space="preserve">the </w:t>
      </w:r>
      <w:r>
        <w:rPr>
          <w:rFonts w:ascii="Calibri" w:hAnsi="Calibri" w:cs="Calibri"/>
          <w:b/>
          <w:bCs/>
        </w:rPr>
        <w:t xml:space="preserve">Taoyuan International Airport</w:t>
      </w:r>
      <w:r>
        <w:rPr>
          <w:rFonts w:ascii="Calibri" w:hAnsi="Calibri" w:cs="Calibri"/>
          <w:b/>
          <w:bCs/>
        </w:rPr>
        <w:t xml:space="preserve"> </w:t>
      </w:r>
      <w:r>
        <w:rPr>
          <w:rFonts w:ascii="Calibri" w:hAnsi="Calibri" w:cs="Calibri"/>
          <w:b/>
          <w:bCs/>
        </w:rPr>
        <w:t xml:space="preserve">Terminal 1/Terminal 2 Stop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to </w:t>
      </w:r>
      <w:r>
        <w:rPr>
          <w:rFonts w:ascii="Calibri" w:hAnsi="Calibri" w:cs="Calibri"/>
          <w:b/>
          <w:bCs/>
        </w:rPr>
        <w:t xml:space="preserve">National Yang Ming Chiao Tung</w:t>
      </w:r>
      <w:r>
        <w:rPr>
          <w:rFonts w:ascii="Calibri" w:hAnsi="Calibri" w:cs="Calibri"/>
          <w:b/>
          <w:bCs/>
        </w:rPr>
        <w:t xml:space="preserve"> </w:t>
      </w:r>
      <w:r>
        <w:rPr>
          <w:rFonts w:ascii="Calibri" w:hAnsi="Calibri" w:cs="Calibri"/>
          <w:b/>
          <w:bCs/>
        </w:rPr>
        <w:t xml:space="preserve">Stop</w:t>
      </w:r>
      <w:r>
        <w:rPr>
          <w:rFonts w:ascii="Calibri" w:hAnsi="Calibri" w:cs="Calibri"/>
        </w:rPr>
        <w:t xml:space="preserve">. Duration: </w:t>
      </w:r>
      <w:r>
        <w:rPr>
          <w:rFonts w:ascii="Calibri" w:hAnsi="Calibri" w:cs="Calibri"/>
        </w:rPr>
        <w:t xml:space="preserve">50</w:t>
      </w:r>
      <w:r>
        <w:rPr>
          <w:rFonts w:ascii="Calibri" w:hAnsi="Calibri" w:cs="Calibri"/>
        </w:rPr>
        <w:t xml:space="preserve"> - 70</w:t>
      </w:r>
      <w:r>
        <w:rPr>
          <w:rFonts w:ascii="Calibri" w:hAnsi="Calibri" w:cs="Calibri"/>
        </w:rPr>
        <w:t xml:space="preserve"> minutes. Cost: NT$</w:t>
      </w:r>
      <w:r>
        <w:rPr>
          <w:rFonts w:ascii="Calibri" w:hAnsi="Calibri" w:cs="Calibri"/>
        </w:rPr>
        <w:t xml:space="preserve">200</w:t>
      </w:r>
      <w:r>
        <w:rPr>
          <w:rFonts w:ascii="Calibri" w:hAnsi="Calibri" w:cs="Calibri"/>
        </w:rPr>
        <w:t xml:space="preserve">. 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2. </w:t>
      </w:r>
      <w:r>
        <w:rPr>
          <w:rFonts w:ascii="Calibri" w:hAnsi="Calibri" w:cs="Calibri"/>
          <w:b/>
          <w:bCs/>
        </w:rPr>
        <w:t xml:space="preserve">National Yang Ming Chiao Tung Stop</w:t>
      </w:r>
      <w:r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t xml:space="preserve">walk</w:t>
      </w:r>
      <w:r>
        <w:rPr>
          <w:rFonts w:ascii="Calibri" w:hAnsi="Calibri" w:cs="Calibri"/>
        </w:rPr>
        <w:t xml:space="preserve"> t</w:t>
      </w:r>
      <w:r>
        <w:rPr>
          <w:rFonts w:ascii="Calibri" w:hAnsi="Calibri" w:cs="Calibri"/>
        </w:rPr>
        <w:t xml:space="preserve">oward Daxue Rd for 3-4 mins and take the right turn. 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Walk for 4-6 mins to </w:t>
      </w:r>
      <w:r>
        <w:rPr>
          <w:rFonts w:ascii="Calibri" w:hAnsi="Calibri" w:cs="Calibri"/>
        </w:rPr>
        <w:t xml:space="preserve">the </w:t>
      </w:r>
      <w:r>
        <w:rPr>
          <w:rFonts w:ascii="Calibri" w:hAnsi="Calibri" w:cs="Calibri"/>
        </w:rPr>
        <w:t xml:space="preserve">THE HO HOTEL </w:t>
      </w:r>
      <w:r>
        <w:rPr>
          <w:rFonts w:ascii="Calibri" w:hAnsi="Calibri" w:cs="Calibri"/>
        </w:rPr>
        <w:t xml:space="preserve">(</w:t>
      </w:r>
      <w:r>
        <w:rPr>
          <w:rFonts w:ascii="Calibri" w:hAnsi="Calibri" w:cs="Calibri"/>
        </w:rPr>
        <w:t xml:space="preserve">和選旅</w:t>
      </w:r>
      <w:r>
        <w:rPr>
          <w:rFonts w:ascii="Calibri" w:hAnsi="Calibri" w:cs="Calibri"/>
        </w:rPr>
        <w:t xml:space="preserve">). 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Total Duration:  60 – 80 minites 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Total Cost:  NT$200.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Method </w:t>
      </w:r>
      <w:r>
        <w:rPr>
          <w:rFonts w:ascii="Calibri" w:hAnsi="Calibri" w:cs="Calibri"/>
          <w:b/>
          <w:bCs/>
        </w:rPr>
        <w:t xml:space="preserve">3</w:t>
      </w:r>
      <w:r>
        <w:rPr>
          <w:rFonts w:ascii="Calibri" w:hAnsi="Calibri" w:cs="Calibri"/>
          <w:b/>
          <w:bCs/>
        </w:rPr>
        <w:t xml:space="preserve">: Airport MRT + </w:t>
      </w:r>
      <w:r>
        <w:rPr>
          <w:rFonts w:ascii="Calibri" w:hAnsi="Calibri" w:cs="Calibri"/>
          <w:b/>
          <w:bCs/>
        </w:rPr>
        <w:t xml:space="preserve">High-speed rail (HSR) + Free Shuttle</w:t>
      </w:r>
      <w:r>
        <w:rPr>
          <w:rFonts w:ascii="Calibri" w:hAnsi="Calibri" w:cs="Calibri"/>
          <w:b/>
          <w:bCs/>
        </w:rPr>
        <w:t xml:space="preserve"> </w:t>
      </w:r>
      <w:r>
        <w:rPr>
          <w:rFonts w:ascii="Calibri" w:hAnsi="Calibri" w:cs="Calibri"/>
          <w:b/>
          <w:bCs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1. Take the </w:t>
      </w:r>
      <w:r>
        <w:rPr>
          <w:rFonts w:ascii="Calibri" w:hAnsi="Calibri" w:cs="Calibri"/>
          <w:b/>
          <w:bCs/>
        </w:rPr>
        <w:t xml:space="preserve">Taoyuan Airport MRT</w:t>
      </w:r>
      <w:r>
        <w:rPr>
          <w:rFonts w:ascii="Calibri" w:hAnsi="Calibri" w:cs="Calibri"/>
        </w:rPr>
        <w:t xml:space="preserve"> (</w:t>
      </w:r>
      <w:r>
        <w:rPr>
          <w:rFonts w:ascii="Calibri" w:hAnsi="Calibri" w:cs="Calibri"/>
        </w:rPr>
        <w:t xml:space="preserve">Blue</w:t>
      </w:r>
      <w:r>
        <w:rPr>
          <w:rFonts w:ascii="Calibri" w:hAnsi="Calibri" w:cs="Calibri"/>
        </w:rPr>
        <w:t xml:space="preserve"> Line) from the airport to </w:t>
      </w:r>
      <w:r>
        <w:rPr>
          <w:rFonts w:ascii="Calibri" w:hAnsi="Calibri" w:cs="Calibri"/>
          <w:b/>
          <w:bCs/>
        </w:rPr>
        <w:t xml:space="preserve">Taoyuan HSR Station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(A1</w:t>
      </w:r>
      <w:r>
        <w:rPr>
          <w:rFonts w:ascii="Calibri" w:hAnsi="Calibri" w:cs="Calibri"/>
        </w:rPr>
        <w:t xml:space="preserve">8</w:t>
      </w:r>
      <w:r>
        <w:rPr>
          <w:rFonts w:ascii="Calibri" w:hAnsi="Calibri" w:cs="Calibri"/>
        </w:rPr>
        <w:t xml:space="preserve">). Duration: </w:t>
      </w:r>
      <w:r>
        <w:rPr>
          <w:rFonts w:ascii="Calibri" w:hAnsi="Calibri" w:cs="Calibri"/>
        </w:rPr>
        <w:t xml:space="preserve">17-20</w:t>
      </w:r>
      <w:r>
        <w:rPr>
          <w:rFonts w:ascii="Calibri" w:hAnsi="Calibri" w:cs="Calibri"/>
        </w:rPr>
        <w:t xml:space="preserve"> minutes. Cost: NT$</w:t>
      </w:r>
      <w:r>
        <w:rPr>
          <w:rFonts w:ascii="Calibri" w:hAnsi="Calibri" w:cs="Calibri"/>
        </w:rPr>
        <w:t xml:space="preserve">25</w:t>
      </w:r>
      <w:r>
        <w:rPr>
          <w:rFonts w:ascii="Calibri" w:hAnsi="Calibri" w:cs="Calibri"/>
        </w:rPr>
        <w:t xml:space="preserve">. 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2. At </w:t>
      </w:r>
      <w:r>
        <w:rPr>
          <w:rFonts w:ascii="Calibri" w:hAnsi="Calibri" w:cs="Calibri"/>
        </w:rPr>
        <w:t xml:space="preserve">Taoyuan HSR Station</w:t>
      </w:r>
      <w:r>
        <w:rPr>
          <w:rFonts w:ascii="Calibri" w:hAnsi="Calibri" w:cs="Calibri"/>
        </w:rPr>
        <w:t xml:space="preserve">, take a </w:t>
      </w:r>
      <w:r>
        <w:rPr>
          <w:rFonts w:ascii="Calibri" w:hAnsi="Calibri" w:cs="Calibri"/>
        </w:rPr>
        <w:t xml:space="preserve">high-speed rail (HSR) from </w:t>
      </w:r>
      <w:r>
        <w:rPr>
          <w:rFonts w:ascii="Calibri" w:hAnsi="Calibri" w:cs="Calibri"/>
          <w:b/>
          <w:bCs/>
        </w:rPr>
        <w:t xml:space="preserve">Taoyuan Station</w:t>
      </w:r>
      <w:r>
        <w:rPr>
          <w:rFonts w:ascii="Calibri" w:hAnsi="Calibri" w:cs="Calibri"/>
        </w:rPr>
        <w:t xml:space="preserve"> to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b/>
          <w:bCs/>
        </w:rPr>
        <w:t xml:space="preserve">Hsinchu Station</w:t>
      </w:r>
      <w:r>
        <w:rPr>
          <w:rFonts w:ascii="Calibri" w:hAnsi="Calibri" w:cs="Calibri"/>
        </w:rPr>
        <w:t xml:space="preserve">. Duration: 10 minutes. Cost: NT$130.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3. Take free shuttle* from Hsinchu HSR station directly to the THE HO HOTEL (</w:t>
      </w:r>
      <w:r>
        <w:rPr>
          <w:rFonts w:ascii="Calibri" w:hAnsi="Calibri" w:cs="Calibri"/>
        </w:rPr>
        <w:t xml:space="preserve">和選旅</w:t>
      </w:r>
      <w:r>
        <w:rPr>
          <w:rFonts w:ascii="Calibri" w:hAnsi="Calibri" w:cs="Calibri"/>
        </w:rPr>
        <w:t xml:space="preserve">).  Duration: 10 minutes. *Reserve in advance.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Total Duration:  60 - 70 minites 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Total Cost:  NT$155.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  <w:b/>
          <w:bCs/>
          <w:color w:val="ff0000"/>
        </w:rPr>
      </w:pPr>
      <w:r>
        <w:rPr>
          <w:rFonts w:ascii="Calibri" w:hAnsi="Calibri" w:cs="Calibri"/>
          <w:b/>
          <w:bCs/>
          <w:color w:val="ff0000"/>
        </w:rPr>
        <w:t xml:space="preserve">Agenda</w:t>
      </w:r>
      <w:r>
        <w:rPr>
          <w:rFonts w:ascii="Calibri" w:hAnsi="Calibri" w:cs="Calibri"/>
          <w:b/>
          <w:bCs/>
          <w:color w:val="ff0000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(TBD)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June 25 (Wed), 2025 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16:00 – 17:00 Registration (Location: THE HO HOTEL)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June 26 (Thu), 2025 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8:00 – 8:50 Registration (Location: </w:t>
      </w:r>
      <w:r>
        <w:rPr>
          <w:rFonts w:ascii="Calibri" w:hAnsi="Calibri" w:cs="Calibri"/>
        </w:rPr>
        <w:t xml:space="preserve">SC001 (B1), NYCU Science Building III</w:t>
      </w:r>
      <w:r>
        <w:rPr>
          <w:rFonts w:ascii="Calibri" w:hAnsi="Calibri" w:cs="Calibri"/>
        </w:rPr>
        <w:t xml:space="preserve">)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8:50 – 9:00 Opening Ceremony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9:00 – 9:45 Plenary Talk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9:45 –  12:30 Session A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12:30 – 13:30 Lunch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13:30 – 14:30 Poster Session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14:30 – 17:45 Session B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17:45 – 18:30 Transportation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18:30 – 20:30 Dinner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June 27 (Fri), 2025 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8:00 – 9:00 Registration (Location: SC001 (B1), NYCU Science Building III)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9:00 – 9:45 Plenary Talk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9:45 –  12:</w:t>
      </w:r>
      <w:r>
        <w:rPr>
          <w:rFonts w:ascii="Calibri" w:hAnsi="Calibri" w:cs="Calibri"/>
        </w:rPr>
        <w:t xml:space="preserve">0</w:t>
      </w:r>
      <w:r>
        <w:rPr>
          <w:rFonts w:ascii="Calibri" w:hAnsi="Calibri" w:cs="Calibri"/>
        </w:rPr>
        <w:t xml:space="preserve">0 Session C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12:</w:t>
      </w:r>
      <w:r>
        <w:rPr>
          <w:rFonts w:ascii="Calibri" w:hAnsi="Calibri" w:cs="Calibri"/>
        </w:rPr>
        <w:t xml:space="preserve">0</w:t>
      </w:r>
      <w:r>
        <w:rPr>
          <w:rFonts w:ascii="Calibri" w:hAnsi="Calibri" w:cs="Calibri"/>
        </w:rPr>
        <w:t xml:space="preserve">0 – 1</w:t>
      </w:r>
      <w:r>
        <w:rPr>
          <w:rFonts w:ascii="Calibri" w:hAnsi="Calibri" w:cs="Calibri"/>
        </w:rPr>
        <w:t xml:space="preserve">2</w:t>
      </w:r>
      <w:r>
        <w:rPr>
          <w:rFonts w:ascii="Calibri" w:hAnsi="Calibri" w:cs="Calibri"/>
        </w:rPr>
        <w:t xml:space="preserve">:</w:t>
      </w:r>
      <w:r>
        <w:rPr>
          <w:rFonts w:ascii="Calibri" w:hAnsi="Calibri" w:cs="Calibri"/>
        </w:rPr>
        <w:t xml:space="preserve">3</w:t>
      </w:r>
      <w:r>
        <w:rPr>
          <w:rFonts w:ascii="Calibri" w:hAnsi="Calibri" w:cs="Calibri"/>
        </w:rPr>
        <w:t xml:space="preserve">0 Lunch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1</w:t>
      </w:r>
      <w:r>
        <w:rPr>
          <w:rFonts w:ascii="Calibri" w:hAnsi="Calibri" w:cs="Calibri"/>
        </w:rPr>
        <w:t xml:space="preserve">2</w:t>
      </w:r>
      <w:r>
        <w:rPr>
          <w:rFonts w:ascii="Calibri" w:hAnsi="Calibri" w:cs="Calibri"/>
        </w:rPr>
        <w:t xml:space="preserve">:</w:t>
      </w:r>
      <w:r>
        <w:rPr>
          <w:rFonts w:ascii="Calibri" w:hAnsi="Calibri" w:cs="Calibri"/>
        </w:rPr>
        <w:t xml:space="preserve">3</w:t>
      </w:r>
      <w:r>
        <w:rPr>
          <w:rFonts w:ascii="Calibri" w:hAnsi="Calibri" w:cs="Calibri"/>
        </w:rPr>
        <w:t xml:space="preserve">0 – 1</w:t>
      </w:r>
      <w:r>
        <w:rPr>
          <w:rFonts w:ascii="Calibri" w:hAnsi="Calibri" w:cs="Calibri"/>
        </w:rPr>
        <w:t xml:space="preserve">3</w:t>
      </w:r>
      <w:r>
        <w:rPr>
          <w:rFonts w:ascii="Calibri" w:hAnsi="Calibri" w:cs="Calibri"/>
        </w:rPr>
        <w:t xml:space="preserve">:</w:t>
      </w:r>
      <w:r>
        <w:rPr>
          <w:rFonts w:ascii="Calibri" w:hAnsi="Calibri" w:cs="Calibri"/>
        </w:rPr>
        <w:t xml:space="preserve">3</w:t>
      </w:r>
      <w:r>
        <w:rPr>
          <w:rFonts w:ascii="Calibri" w:hAnsi="Calibri" w:cs="Calibri"/>
        </w:rPr>
        <w:t xml:space="preserve">0 Poster Session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1</w:t>
      </w:r>
      <w:r>
        <w:rPr>
          <w:rFonts w:ascii="Calibri" w:hAnsi="Calibri" w:cs="Calibri"/>
        </w:rPr>
        <w:t xml:space="preserve">3</w:t>
      </w:r>
      <w:r>
        <w:rPr>
          <w:rFonts w:ascii="Calibri" w:hAnsi="Calibri" w:cs="Calibri"/>
        </w:rPr>
        <w:t xml:space="preserve">:</w:t>
      </w:r>
      <w:r>
        <w:rPr>
          <w:rFonts w:ascii="Calibri" w:hAnsi="Calibri" w:cs="Calibri"/>
        </w:rPr>
        <w:t xml:space="preserve">3</w:t>
      </w:r>
      <w:r>
        <w:rPr>
          <w:rFonts w:ascii="Calibri" w:hAnsi="Calibri" w:cs="Calibri"/>
        </w:rPr>
        <w:t xml:space="preserve">0 – 1</w:t>
      </w:r>
      <w:r>
        <w:rPr>
          <w:rFonts w:ascii="Calibri" w:hAnsi="Calibri" w:cs="Calibri"/>
        </w:rPr>
        <w:t xml:space="preserve">5</w:t>
      </w:r>
      <w:r>
        <w:rPr>
          <w:rFonts w:ascii="Calibri" w:hAnsi="Calibri" w:cs="Calibri"/>
        </w:rPr>
        <w:t xml:space="preserve">:</w:t>
      </w:r>
      <w:r>
        <w:rPr>
          <w:rFonts w:ascii="Calibri" w:hAnsi="Calibri" w:cs="Calibri"/>
        </w:rPr>
        <w:t xml:space="preserve">3</w:t>
      </w:r>
      <w:r>
        <w:rPr>
          <w:rFonts w:ascii="Calibri" w:hAnsi="Calibri" w:cs="Calibri"/>
        </w:rPr>
        <w:t xml:space="preserve">0 Session D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1</w:t>
      </w:r>
      <w:r>
        <w:rPr>
          <w:rFonts w:ascii="Calibri" w:hAnsi="Calibri" w:cs="Calibri"/>
        </w:rPr>
        <w:t xml:space="preserve">5</w:t>
      </w:r>
      <w:r>
        <w:rPr>
          <w:rFonts w:ascii="Calibri" w:hAnsi="Calibri" w:cs="Calibri"/>
        </w:rPr>
        <w:t xml:space="preserve">:</w:t>
      </w:r>
      <w:r>
        <w:rPr>
          <w:rFonts w:ascii="Calibri" w:hAnsi="Calibri" w:cs="Calibri"/>
        </w:rPr>
        <w:t xml:space="preserve">3</w:t>
      </w:r>
      <w:r>
        <w:rPr>
          <w:rFonts w:ascii="Calibri" w:hAnsi="Calibri" w:cs="Calibri"/>
        </w:rPr>
        <w:t xml:space="preserve">0 – 1</w:t>
      </w:r>
      <w:r>
        <w:rPr>
          <w:rFonts w:ascii="Calibri" w:hAnsi="Calibri" w:cs="Calibri"/>
        </w:rPr>
        <w:t xml:space="preserve">5</w:t>
      </w:r>
      <w:r>
        <w:rPr>
          <w:rFonts w:ascii="Calibri" w:hAnsi="Calibri" w:cs="Calibri"/>
        </w:rPr>
        <w:t xml:space="preserve">:</w:t>
      </w:r>
      <w:r>
        <w:rPr>
          <w:rFonts w:ascii="Calibri" w:hAnsi="Calibri" w:cs="Calibri"/>
        </w:rPr>
        <w:t xml:space="preserve">4</w:t>
      </w:r>
      <w:r>
        <w:rPr>
          <w:rFonts w:ascii="Calibri" w:hAnsi="Calibri" w:cs="Calibri"/>
        </w:rPr>
        <w:t xml:space="preserve">0 Closing Ceremony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1</w:t>
      </w:r>
      <w:r>
        <w:rPr>
          <w:rFonts w:ascii="Calibri" w:hAnsi="Calibri" w:cs="Calibri"/>
        </w:rPr>
        <w:t xml:space="preserve">5</w:t>
      </w:r>
      <w:r>
        <w:rPr>
          <w:rFonts w:ascii="Calibri" w:hAnsi="Calibri" w:cs="Calibri"/>
        </w:rPr>
        <w:t xml:space="preserve">:</w:t>
      </w:r>
      <w:r>
        <w:rPr>
          <w:rFonts w:ascii="Calibri" w:hAnsi="Calibri" w:cs="Calibri"/>
        </w:rPr>
        <w:t xml:space="preserve">4</w:t>
      </w:r>
      <w:r>
        <w:rPr>
          <w:rFonts w:ascii="Calibri" w:hAnsi="Calibri" w:cs="Calibri"/>
        </w:rPr>
        <w:t xml:space="preserve">0 –</w:t>
      </w:r>
      <w:r>
        <w:rPr>
          <w:rFonts w:ascii="Calibri" w:hAnsi="Calibri" w:cs="Calibri"/>
        </w:rPr>
        <w:t xml:space="preserve"> 21:00</w:t>
      </w:r>
      <w:r>
        <w:rPr>
          <w:rFonts w:ascii="Calibri" w:hAnsi="Calibri" w:cs="Calibri"/>
        </w:rPr>
        <w:t xml:space="preserve">  Excursion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June 28 (Sat), 2025 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8:00 – 17:00 Excursion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  <w:b/>
          <w:bCs/>
          <w:color w:val="ff0000"/>
        </w:rPr>
      </w:pPr>
      <w:r/>
      <w:commentRangeStart w:id="0"/>
      <w:r>
        <w:rPr>
          <w:rFonts w:ascii="Calibri" w:hAnsi="Calibri" w:cs="Calibri"/>
          <w:b/>
          <w:bCs/>
          <w:color w:val="ff0000"/>
        </w:rPr>
        <w:t xml:space="preserve">Call for abstract</w:t>
      </w:r>
      <w:commentRangeEnd w:id="0"/>
      <w:r>
        <w:commentReference w:id="0"/>
      </w:r>
      <w:r>
        <w:rPr>
          <w:rStyle w:val="695"/>
          <w:rFonts w:ascii="Calibri" w:hAnsi="Calibri" w:cs="Calibri"/>
        </w:rPr>
      </w:r>
      <w:r>
        <w:rPr>
          <w:rFonts w:ascii="Calibri" w:hAnsi="Calibri" w:cs="Calibri"/>
          <w:b/>
          <w:bCs/>
          <w:color w:val="ff0000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(TBD)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  <w:b/>
          <w:bCs/>
          <w:color w:val="ff0000"/>
        </w:rPr>
      </w:pPr>
      <w:r>
        <w:rPr>
          <w:rFonts w:ascii="Calibri" w:hAnsi="Calibri" w:cs="Calibri"/>
          <w:b/>
          <w:bCs/>
          <w:color w:val="ff0000"/>
        </w:rPr>
        <w:t xml:space="preserve">Excursion</w:t>
      </w:r>
      <w:r>
        <w:rPr>
          <w:rFonts w:ascii="Calibri" w:hAnsi="Calibri" w:cs="Calibri"/>
          <w:b/>
          <w:bCs/>
          <w:color w:val="ff0000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Date: 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June 27 (Fri) &amp; June 28 (Sat), 2025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Price: 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200 USD (International)  / 6000 NTD (Local). Accompanying person: 150 USD (International) / 4500 NTD (Local)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Excursion flyer: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  <w:color w:val="0432ff"/>
          <w:u w:val="single"/>
        </w:rPr>
      </w:pPr>
      <w:r/>
      <w:commentRangeStart w:id="1"/>
      <w:r>
        <w:rPr>
          <w:rFonts w:ascii="Calibri" w:hAnsi="Calibri" w:cs="Calibri"/>
          <w:color w:val="0432ff"/>
          <w:u w:val="single"/>
        </w:rPr>
        <w:t xml:space="preserve">Download</w:t>
      </w:r>
      <w:commentRangeEnd w:id="1"/>
      <w:r>
        <w:commentReference w:id="1"/>
      </w:r>
      <w:r>
        <w:rPr>
          <w:rStyle w:val="695"/>
          <w:rFonts w:ascii="Calibri" w:hAnsi="Calibri" w:cs="Calibri"/>
        </w:rPr>
      </w:r>
      <w:r>
        <w:rPr>
          <w:rFonts w:ascii="Calibri" w:hAnsi="Calibri" w:cs="Calibri"/>
          <w:color w:val="0432ff"/>
          <w:u w:val="single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  <w:b/>
          <w:bCs/>
          <w:color w:val="ff0000"/>
        </w:rPr>
      </w:pPr>
      <w:r>
        <w:rPr>
          <w:rFonts w:ascii="Calibri" w:hAnsi="Calibri" w:cs="Calibri"/>
          <w:b/>
          <w:bCs/>
          <w:color w:val="ff0000"/>
        </w:rPr>
        <w:t xml:space="preserve">Registration</w:t>
      </w:r>
      <w:r>
        <w:rPr>
          <w:rFonts w:ascii="Calibri" w:hAnsi="Calibri" w:cs="Calibri"/>
          <w:b/>
          <w:bCs/>
          <w:color w:val="ff0000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Registration is now open. Register before May 15th to receive a discount.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Click </w:t>
      </w:r>
      <w:commentRangeStart w:id="2"/>
      <w:r>
        <w:rPr>
          <w:rFonts w:ascii="Calibri" w:hAnsi="Calibri" w:cs="Calibri"/>
          <w:color w:val="0432ff"/>
          <w:u w:val="single"/>
        </w:rPr>
        <w:t xml:space="preserve">HERE</w:t>
      </w:r>
      <w:r>
        <w:rPr>
          <w:rFonts w:ascii="Calibri" w:hAnsi="Calibri" w:cs="Calibri"/>
        </w:rPr>
        <w:t xml:space="preserve"> </w:t>
      </w:r>
      <w:commentRangeEnd w:id="2"/>
      <w:r>
        <w:commentReference w:id="2"/>
      </w:r>
      <w:r>
        <w:rPr>
          <w:rFonts w:ascii="Calibri" w:hAnsi="Calibri" w:cs="Calibri"/>
        </w:rPr>
        <w:t xml:space="preserve">to register.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Regular registration fees include lunch, refreshment and banquet. Student registration fees include lunch and refreshment.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International Registration Fee</w:t>
      </w:r>
      <w:r>
        <w:rPr>
          <w:rFonts w:ascii="Calibri" w:hAnsi="Calibri" w:cs="Calibri"/>
          <w:b/>
          <w:bCs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Early-bird (by May 15, 2025):</w:t>
      </w:r>
      <w:r>
        <w:rPr>
          <w:rFonts w:ascii="Calibri" w:hAnsi="Calibri" w:cs="Calibri"/>
        </w:rPr>
      </w:r>
    </w:p>
    <w:p>
      <w:pPr>
        <w:pBdr/>
        <w:spacing/>
        <w:ind w:hanging="720" w:left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Regular: 300 USD /Student: 100 USD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Late (from May 16, 2025) / Onsite: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Regular: 400 USD / Student: 150 USD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Domestic Registration Fee</w:t>
      </w:r>
      <w:r>
        <w:rPr>
          <w:rFonts w:ascii="Calibri" w:hAnsi="Calibri" w:cs="Calibri"/>
          <w:b/>
          <w:bCs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Regular: 5000 NTD / Student: 1500 NTD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  <w:t xml:space="preserve">Additional banquet ticket for accompanying person: 40 USD (International) / 1200 NTD (Local)</w:t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</w:rPr>
      </w:pPr>
      <w:r>
        <w:rPr>
          <w:rFonts w:ascii="Calibri" w:hAnsi="Calibri" w:cs="Calibri"/>
        </w:rPr>
      </w:r>
      <w:r>
        <w:rPr>
          <w:rFonts w:ascii="Calibri" w:hAnsi="Calibri" w:cs="Calibri"/>
        </w:rPr>
      </w:r>
    </w:p>
    <w:p>
      <w:pPr>
        <w:pBdr/>
        <w:spacing/>
        <w:ind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</w:r>
      <w:r>
        <w:rPr>
          <w:rFonts w:ascii="Calibri" w:hAnsi="Calibri" w:cs="Calibri"/>
          <w:b/>
          <w:bCs/>
        </w:rPr>
      </w:r>
    </w:p>
    <w:sectPr>
      <w:headerReference w:type="default" r:id="rId8"/>
      <w:footnotePr/>
      <w:endnotePr/>
      <w:type w:val="nextPage"/>
      <w:pgSz w:h="15840" w:orient="portrait" w:w="12240"/>
      <w:pgMar w:top="1440" w:right="1440" w:bottom="1440" w:left="1440" w:header="708" w:footer="708" w:gutter="0"/>
      <w:cols w:num="1" w:sep="0" w:space="708" w:equalWidth="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楊尚樺" w:date="2025-03-24T01:24:00Z" w:initials="楊尚樺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Registration Form (Google Doc)</w:t>
      </w:r>
    </w:p>
  </w:comment>
  <w:comment w:id="1" w:author="楊尚樺" w:date="2025-03-24T01:37:00Z" w:initials="楊尚樺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Working on it</w:t>
      </w:r>
    </w:p>
  </w:comment>
  <w:comment w:id="0" w:author="楊尚樺" w:date="2025-03-24T01:48:00Z" w:initials="楊尚樺"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Still working on it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0"/>
  <w15:commentEx w15:paraId="0000000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052143DC" w16cex:dateUtc="2025-03-23T17:24:00Z"/>
  <w16cex:commentExtensible w16cex:durableId="54FF49FE" w16cex:dateUtc="2025-03-23T17:37:00Z"/>
  <w16cex:commentExtensible w16cex:durableId="6DC63411" w16cex:dateUtc="2025-03-23T17:48:00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052143DC"/>
  <w16cid:commentId w16cid:paraId="00000002" w16cid:durableId="54FF49FE"/>
  <w16cid:commentId w16cid:paraId="00000003" w16cid:durableId="6DC63411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Arial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75"/>
      <w:pBdr/>
      <w:spacing/>
      <w:ind/>
      <w:rPr/>
    </w:pPr>
    <w:r/>
    <w:r/>
  </w:p>
</w:hdr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楊尚樺">
    <w15:presenceInfo w15:providerId="AD" w15:userId="S::b17145@office365.nthu.edu.tw::0e03432a-cb56-4368-9868-0d4c380269d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seFELayout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EastAsia" w:cstheme="minorBidi"/>
        <w:sz w:val="24"/>
        <w:szCs w:val="24"/>
        <w:lang w:val="en-US" w:eastAsia="zh-TW" w:bidi="ar-SA"/>
        <w14:ligatures w14:val="standardContextual"/>
      </w:rPr>
    </w:rPrDefault>
    <w:pPrDefault>
      <w:pPr>
        <w:pBdr/>
        <w:spacing w:after="160" w:afterAutospacing="0" w:before="0" w:beforeAutospacing="0" w:line="278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7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7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7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7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7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7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7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7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7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7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7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c0e4f5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3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c1f0c7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c9edf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f2ceee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d9f2d0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156082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2ab8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48d45b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60cbf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d86dcc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8fd974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69">
    <w:name w:val="No Spacing"/>
    <w:basedOn w:val="660"/>
    <w:uiPriority w:val="1"/>
    <w:qFormat/>
    <w:pPr>
      <w:pBdr/>
      <w:spacing w:after="0" w:line="240" w:lineRule="auto"/>
      <w:ind/>
    </w:pPr>
  </w:style>
  <w:style w:type="character" w:styleId="170">
    <w:name w:val="Subtle Emphasis"/>
    <w:basedOn w:val="670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670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670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670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670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60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670"/>
    <w:link w:val="175"/>
    <w:uiPriority w:val="99"/>
    <w:pPr>
      <w:pBdr/>
      <w:spacing/>
      <w:ind/>
    </w:pPr>
  </w:style>
  <w:style w:type="paragraph" w:styleId="177">
    <w:name w:val="Footer"/>
    <w:basedOn w:val="660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670"/>
    <w:link w:val="177"/>
    <w:uiPriority w:val="99"/>
    <w:pPr>
      <w:pBdr/>
      <w:spacing/>
      <w:ind/>
    </w:pPr>
  </w:style>
  <w:style w:type="paragraph" w:styleId="179">
    <w:name w:val="Caption"/>
    <w:basedOn w:val="660"/>
    <w:next w:val="660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60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670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670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60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670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670"/>
    <w:uiPriority w:val="99"/>
    <w:semiHidden/>
    <w:unhideWhenUsed/>
    <w:pPr>
      <w:pBdr/>
      <w:spacing/>
      <w:ind/>
    </w:pPr>
    <w:rPr>
      <w:vertAlign w:val="superscript"/>
    </w:rPr>
  </w:style>
  <w:style w:type="character" w:styleId="187">
    <w:name w:val="FollowedHyperlink"/>
    <w:basedOn w:val="670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660"/>
    <w:next w:val="660"/>
    <w:uiPriority w:val="39"/>
    <w:unhideWhenUsed/>
    <w:pPr>
      <w:pBdr/>
      <w:spacing w:after="100"/>
      <w:ind/>
    </w:pPr>
  </w:style>
  <w:style w:type="paragraph" w:styleId="189">
    <w:name w:val="toc 2"/>
    <w:basedOn w:val="660"/>
    <w:next w:val="660"/>
    <w:uiPriority w:val="39"/>
    <w:unhideWhenUsed/>
    <w:pPr>
      <w:pBdr/>
      <w:spacing w:after="100"/>
      <w:ind w:left="220"/>
    </w:pPr>
  </w:style>
  <w:style w:type="paragraph" w:styleId="190">
    <w:name w:val="toc 3"/>
    <w:basedOn w:val="660"/>
    <w:next w:val="660"/>
    <w:uiPriority w:val="39"/>
    <w:unhideWhenUsed/>
    <w:pPr>
      <w:pBdr/>
      <w:spacing w:after="100"/>
      <w:ind w:left="440"/>
    </w:pPr>
  </w:style>
  <w:style w:type="paragraph" w:styleId="191">
    <w:name w:val="toc 4"/>
    <w:basedOn w:val="660"/>
    <w:next w:val="660"/>
    <w:uiPriority w:val="39"/>
    <w:unhideWhenUsed/>
    <w:pPr>
      <w:pBdr/>
      <w:spacing w:after="100"/>
      <w:ind w:left="660"/>
    </w:pPr>
  </w:style>
  <w:style w:type="paragraph" w:styleId="192">
    <w:name w:val="toc 5"/>
    <w:basedOn w:val="660"/>
    <w:next w:val="660"/>
    <w:uiPriority w:val="39"/>
    <w:unhideWhenUsed/>
    <w:pPr>
      <w:pBdr/>
      <w:spacing w:after="100"/>
      <w:ind w:left="880"/>
    </w:pPr>
  </w:style>
  <w:style w:type="paragraph" w:styleId="193">
    <w:name w:val="toc 6"/>
    <w:basedOn w:val="660"/>
    <w:next w:val="660"/>
    <w:uiPriority w:val="39"/>
    <w:unhideWhenUsed/>
    <w:pPr>
      <w:pBdr/>
      <w:spacing w:after="100"/>
      <w:ind w:left="1100"/>
    </w:pPr>
  </w:style>
  <w:style w:type="paragraph" w:styleId="194">
    <w:name w:val="toc 7"/>
    <w:basedOn w:val="660"/>
    <w:next w:val="660"/>
    <w:uiPriority w:val="39"/>
    <w:unhideWhenUsed/>
    <w:pPr>
      <w:pBdr/>
      <w:spacing w:after="100"/>
      <w:ind w:left="1320"/>
    </w:pPr>
  </w:style>
  <w:style w:type="paragraph" w:styleId="195">
    <w:name w:val="toc 8"/>
    <w:basedOn w:val="660"/>
    <w:next w:val="660"/>
    <w:uiPriority w:val="39"/>
    <w:unhideWhenUsed/>
    <w:pPr>
      <w:pBdr/>
      <w:spacing w:after="100"/>
      <w:ind w:left="1540"/>
    </w:pPr>
  </w:style>
  <w:style w:type="paragraph" w:styleId="196">
    <w:name w:val="toc 9"/>
    <w:basedOn w:val="660"/>
    <w:next w:val="660"/>
    <w:uiPriority w:val="39"/>
    <w:unhideWhenUsed/>
    <w:pPr>
      <w:pBdr/>
      <w:spacing w:after="100"/>
      <w:ind w:left="1760"/>
    </w:pPr>
  </w:style>
  <w:style w:type="paragraph" w:styleId="206">
    <w:name w:val="TOC Heading"/>
    <w:uiPriority w:val="39"/>
    <w:unhideWhenUsed/>
    <w:pPr>
      <w:pBdr/>
      <w:spacing/>
      <w:ind/>
    </w:pPr>
  </w:style>
  <w:style w:type="paragraph" w:styleId="207">
    <w:name w:val="table of figures"/>
    <w:basedOn w:val="660"/>
    <w:next w:val="660"/>
    <w:uiPriority w:val="99"/>
    <w:unhideWhenUsed/>
    <w:pPr>
      <w:pBdr/>
      <w:spacing w:after="0" w:afterAutospacing="0"/>
      <w:ind/>
    </w:pPr>
  </w:style>
  <w:style w:type="paragraph" w:styleId="660" w:default="1">
    <w:name w:val="Normal"/>
    <w:qFormat/>
    <w:pPr>
      <w:pBdr/>
      <w:spacing/>
      <w:ind/>
    </w:pPr>
  </w:style>
  <w:style w:type="paragraph" w:styleId="661">
    <w:name w:val="Heading 1"/>
    <w:basedOn w:val="660"/>
    <w:next w:val="660"/>
    <w:link w:val="673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662">
    <w:name w:val="Heading 2"/>
    <w:basedOn w:val="660"/>
    <w:next w:val="660"/>
    <w:link w:val="674"/>
    <w:uiPriority w:val="9"/>
    <w:semiHidden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663">
    <w:name w:val="Heading 3"/>
    <w:basedOn w:val="660"/>
    <w:next w:val="660"/>
    <w:link w:val="675"/>
    <w:uiPriority w:val="9"/>
    <w:semiHidden/>
    <w:unhideWhenUsed/>
    <w:qFormat/>
    <w:pPr>
      <w:keepNext w:val="true"/>
      <w:keepLines w:val="true"/>
      <w:pBdr/>
      <w:spacing w:after="80" w:before="160"/>
      <w:ind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664">
    <w:name w:val="Heading 4"/>
    <w:basedOn w:val="660"/>
    <w:next w:val="660"/>
    <w:link w:val="676"/>
    <w:uiPriority w:val="9"/>
    <w:semiHidden/>
    <w:unhideWhenUsed/>
    <w:qFormat/>
    <w:pPr>
      <w:keepNext w:val="true"/>
      <w:keepLines w:val="true"/>
      <w:pBdr/>
      <w:spacing w:after="40" w:before="80"/>
      <w:ind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665">
    <w:name w:val="Heading 5"/>
    <w:basedOn w:val="660"/>
    <w:next w:val="660"/>
    <w:link w:val="677"/>
    <w:uiPriority w:val="9"/>
    <w:semiHidden/>
    <w:unhideWhenUsed/>
    <w:qFormat/>
    <w:pPr>
      <w:keepNext w:val="true"/>
      <w:keepLines w:val="true"/>
      <w:pBdr/>
      <w:spacing w:after="40" w:before="80"/>
      <w:ind/>
      <w:outlineLvl w:val="4"/>
    </w:pPr>
    <w:rPr>
      <w:rFonts w:eastAsiaTheme="majorEastAsia" w:cstheme="majorBidi"/>
      <w:color w:val="0f4761" w:themeColor="accent1" w:themeShade="BF"/>
    </w:rPr>
  </w:style>
  <w:style w:type="paragraph" w:styleId="666">
    <w:name w:val="Heading 6"/>
    <w:basedOn w:val="660"/>
    <w:next w:val="660"/>
    <w:link w:val="678"/>
    <w:uiPriority w:val="9"/>
    <w:semiHidden/>
    <w:unhideWhenUsed/>
    <w:qFormat/>
    <w:pPr>
      <w:keepNext w:val="true"/>
      <w:keepLines w:val="true"/>
      <w:pBdr/>
      <w:spacing w:after="0" w:before="40"/>
      <w:ind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667">
    <w:name w:val="Heading 7"/>
    <w:basedOn w:val="660"/>
    <w:next w:val="660"/>
    <w:link w:val="679"/>
    <w:uiPriority w:val="9"/>
    <w:semiHidden/>
    <w:unhideWhenUsed/>
    <w:qFormat/>
    <w:pPr>
      <w:keepNext w:val="true"/>
      <w:keepLines w:val="true"/>
      <w:pBdr/>
      <w:spacing w:after="0" w:before="40"/>
      <w:ind/>
      <w:outlineLvl w:val="6"/>
    </w:pPr>
    <w:rPr>
      <w:rFonts w:eastAsiaTheme="majorEastAsia" w:cstheme="majorBidi"/>
      <w:color w:val="595959" w:themeColor="text1" w:themeTint="A6"/>
    </w:rPr>
  </w:style>
  <w:style w:type="paragraph" w:styleId="668">
    <w:name w:val="Heading 8"/>
    <w:basedOn w:val="660"/>
    <w:next w:val="660"/>
    <w:link w:val="680"/>
    <w:uiPriority w:val="9"/>
    <w:semiHidden/>
    <w:unhideWhenUsed/>
    <w:qFormat/>
    <w:pPr>
      <w:keepNext w:val="true"/>
      <w:keepLines w:val="true"/>
      <w:pBdr/>
      <w:spacing w:after="0"/>
      <w:ind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669">
    <w:name w:val="Heading 9"/>
    <w:basedOn w:val="660"/>
    <w:next w:val="660"/>
    <w:link w:val="681"/>
    <w:uiPriority w:val="9"/>
    <w:semiHidden/>
    <w:unhideWhenUsed/>
    <w:qFormat/>
    <w:pPr>
      <w:keepNext w:val="true"/>
      <w:keepLines w:val="true"/>
      <w:pBdr/>
      <w:spacing w:after="0"/>
      <w:ind/>
      <w:outlineLvl w:val="8"/>
    </w:pPr>
    <w:rPr>
      <w:rFonts w:eastAsiaTheme="majorEastAsia" w:cstheme="majorBidi"/>
      <w:color w:val="272727" w:themeColor="text1" w:themeTint="D8"/>
    </w:rPr>
  </w:style>
  <w:style w:type="character" w:styleId="670" w:default="1">
    <w:name w:val="Default Paragraph Font"/>
    <w:uiPriority w:val="1"/>
    <w:semiHidden/>
    <w:unhideWhenUsed/>
    <w:pPr>
      <w:pBdr/>
      <w:spacing/>
      <w:ind/>
    </w:pPr>
  </w:style>
  <w:style w:type="table" w:styleId="67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72" w:default="1">
    <w:name w:val="No List"/>
    <w:uiPriority w:val="99"/>
    <w:semiHidden/>
    <w:unhideWhenUsed/>
    <w:pPr>
      <w:pBdr/>
      <w:spacing/>
      <w:ind/>
    </w:pPr>
  </w:style>
  <w:style w:type="character" w:styleId="673" w:customStyle="1">
    <w:name w:val="Heading 1 Char"/>
    <w:basedOn w:val="670"/>
    <w:link w:val="661"/>
    <w:uiPriority w:val="9"/>
    <w:pPr>
      <w:pBdr/>
      <w:spacing/>
      <w:ind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674" w:customStyle="1">
    <w:name w:val="Heading 2 Char"/>
    <w:basedOn w:val="670"/>
    <w:link w:val="662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675" w:customStyle="1">
    <w:name w:val="Heading 3 Char"/>
    <w:basedOn w:val="670"/>
    <w:link w:val="663"/>
    <w:uiPriority w:val="9"/>
    <w:semiHidden/>
    <w:pPr>
      <w:pBdr/>
      <w:spacing/>
      <w:ind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676" w:customStyle="1">
    <w:name w:val="Heading 4 Char"/>
    <w:basedOn w:val="670"/>
    <w:link w:val="664"/>
    <w:uiPriority w:val="9"/>
    <w:semiHidden/>
    <w:pPr>
      <w:pBdr/>
      <w:spacing/>
      <w:ind/>
    </w:pPr>
    <w:rPr>
      <w:rFonts w:eastAsiaTheme="majorEastAsia" w:cstheme="majorBidi"/>
      <w:i/>
      <w:iCs/>
      <w:color w:val="0f4761" w:themeColor="accent1" w:themeShade="BF"/>
    </w:rPr>
  </w:style>
  <w:style w:type="character" w:styleId="677" w:customStyle="1">
    <w:name w:val="Heading 5 Char"/>
    <w:basedOn w:val="670"/>
    <w:link w:val="665"/>
    <w:uiPriority w:val="9"/>
    <w:semiHidden/>
    <w:pPr>
      <w:pBdr/>
      <w:spacing/>
      <w:ind/>
    </w:pPr>
    <w:rPr>
      <w:rFonts w:eastAsiaTheme="majorEastAsia" w:cstheme="majorBidi"/>
      <w:color w:val="0f4761" w:themeColor="accent1" w:themeShade="BF"/>
    </w:rPr>
  </w:style>
  <w:style w:type="character" w:styleId="678" w:customStyle="1">
    <w:name w:val="Heading 6 Char"/>
    <w:basedOn w:val="670"/>
    <w:link w:val="666"/>
    <w:uiPriority w:val="9"/>
    <w:semiHidden/>
    <w:pPr>
      <w:pBdr/>
      <w:spacing/>
      <w:ind/>
    </w:pPr>
    <w:rPr>
      <w:rFonts w:eastAsiaTheme="majorEastAsia" w:cstheme="majorBidi"/>
      <w:i/>
      <w:iCs/>
      <w:color w:val="595959" w:themeColor="text1" w:themeTint="A6"/>
    </w:rPr>
  </w:style>
  <w:style w:type="character" w:styleId="679" w:customStyle="1">
    <w:name w:val="Heading 7 Char"/>
    <w:basedOn w:val="670"/>
    <w:link w:val="667"/>
    <w:uiPriority w:val="9"/>
    <w:semiHidden/>
    <w:pPr>
      <w:pBdr/>
      <w:spacing/>
      <w:ind/>
    </w:pPr>
    <w:rPr>
      <w:rFonts w:eastAsiaTheme="majorEastAsia" w:cstheme="majorBidi"/>
      <w:color w:val="595959" w:themeColor="text1" w:themeTint="A6"/>
    </w:rPr>
  </w:style>
  <w:style w:type="character" w:styleId="680" w:customStyle="1">
    <w:name w:val="Heading 8 Char"/>
    <w:basedOn w:val="670"/>
    <w:link w:val="668"/>
    <w:uiPriority w:val="9"/>
    <w:semiHidden/>
    <w:pPr>
      <w:pBdr/>
      <w:spacing/>
      <w:ind/>
    </w:pPr>
    <w:rPr>
      <w:rFonts w:eastAsiaTheme="majorEastAsia" w:cstheme="majorBidi"/>
      <w:i/>
      <w:iCs/>
      <w:color w:val="272727" w:themeColor="text1" w:themeTint="D8"/>
    </w:rPr>
  </w:style>
  <w:style w:type="character" w:styleId="681" w:customStyle="1">
    <w:name w:val="Heading 9 Char"/>
    <w:basedOn w:val="670"/>
    <w:link w:val="669"/>
    <w:uiPriority w:val="9"/>
    <w:semiHidden/>
    <w:pPr>
      <w:pBdr/>
      <w:spacing/>
      <w:ind/>
    </w:pPr>
    <w:rPr>
      <w:rFonts w:eastAsiaTheme="majorEastAsia" w:cstheme="majorBidi"/>
      <w:color w:val="272727" w:themeColor="text1" w:themeTint="D8"/>
    </w:rPr>
  </w:style>
  <w:style w:type="paragraph" w:styleId="682">
    <w:name w:val="Title"/>
    <w:basedOn w:val="660"/>
    <w:next w:val="660"/>
    <w:link w:val="683"/>
    <w:uiPriority w:val="10"/>
    <w:qFormat/>
    <w:pPr>
      <w:pBdr/>
      <w:spacing w:after="80" w:line="240" w:lineRule="auto"/>
      <w:ind/>
      <w:contextualSpacing w:val="true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683" w:customStyle="1">
    <w:name w:val="Title Char"/>
    <w:basedOn w:val="670"/>
    <w:link w:val="682"/>
    <w:uiPriority w:val="10"/>
    <w:pPr>
      <w:pBdr/>
      <w:spacing/>
      <w:ind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paragraph" w:styleId="684">
    <w:name w:val="Subtitle"/>
    <w:basedOn w:val="660"/>
    <w:next w:val="660"/>
    <w:link w:val="685"/>
    <w:uiPriority w:val="11"/>
    <w:qFormat/>
    <w:pPr>
      <w:numPr>
        <w:ilvl w:val="1"/>
      </w:numPr>
      <w:pBdr/>
      <w:spacing/>
      <w:ind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685" w:customStyle="1">
    <w:name w:val="Subtitle Char"/>
    <w:basedOn w:val="670"/>
    <w:link w:val="684"/>
    <w:uiPriority w:val="11"/>
    <w:pPr>
      <w:pBdr/>
      <w:spacing/>
      <w:ind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686">
    <w:name w:val="Quote"/>
    <w:basedOn w:val="660"/>
    <w:next w:val="660"/>
    <w:link w:val="687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687" w:customStyle="1">
    <w:name w:val="Quote Char"/>
    <w:basedOn w:val="670"/>
    <w:link w:val="686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688">
    <w:name w:val="List Paragraph"/>
    <w:basedOn w:val="660"/>
    <w:uiPriority w:val="34"/>
    <w:qFormat/>
    <w:pPr>
      <w:pBdr/>
      <w:spacing/>
      <w:ind w:left="720"/>
      <w:contextualSpacing w:val="true"/>
    </w:pPr>
  </w:style>
  <w:style w:type="character" w:styleId="689">
    <w:name w:val="Intense Emphasis"/>
    <w:basedOn w:val="670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690">
    <w:name w:val="Intense Quote"/>
    <w:basedOn w:val="660"/>
    <w:next w:val="660"/>
    <w:link w:val="691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691" w:customStyle="1">
    <w:name w:val="Intense Quote Char"/>
    <w:basedOn w:val="670"/>
    <w:link w:val="690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692">
    <w:name w:val="Intense Reference"/>
    <w:basedOn w:val="670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693">
    <w:name w:val="Hyperlink"/>
    <w:basedOn w:val="670"/>
    <w:uiPriority w:val="99"/>
    <w:unhideWhenUsed/>
    <w:pPr>
      <w:pBdr/>
      <w:spacing/>
      <w:ind/>
    </w:pPr>
    <w:rPr>
      <w:color w:val="467886" w:themeColor="hyperlink"/>
      <w:u w:val="single"/>
    </w:rPr>
  </w:style>
  <w:style w:type="character" w:styleId="694">
    <w:name w:val="Unresolved Mention"/>
    <w:basedOn w:val="670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character" w:styleId="695">
    <w:name w:val="annotation reference"/>
    <w:basedOn w:val="670"/>
    <w:uiPriority w:val="99"/>
    <w:semiHidden/>
    <w:unhideWhenUsed/>
    <w:pPr>
      <w:pBdr/>
      <w:spacing/>
      <w:ind/>
    </w:pPr>
    <w:rPr>
      <w:sz w:val="16"/>
      <w:szCs w:val="16"/>
    </w:rPr>
  </w:style>
  <w:style w:type="paragraph" w:styleId="696">
    <w:name w:val="annotation text"/>
    <w:basedOn w:val="660"/>
    <w:link w:val="697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697" w:customStyle="1">
    <w:name w:val="Comment Text Char"/>
    <w:basedOn w:val="670"/>
    <w:link w:val="696"/>
    <w:uiPriority w:val="99"/>
    <w:semiHidden/>
    <w:pPr>
      <w:pBdr/>
      <w:spacing/>
      <w:ind/>
    </w:pPr>
    <w:rPr>
      <w:sz w:val="20"/>
      <w:szCs w:val="20"/>
    </w:rPr>
  </w:style>
  <w:style w:type="paragraph" w:styleId="698">
    <w:name w:val="annotation subject"/>
    <w:basedOn w:val="696"/>
    <w:next w:val="696"/>
    <w:link w:val="699"/>
    <w:uiPriority w:val="99"/>
    <w:semiHidden/>
    <w:unhideWhenUsed/>
    <w:pPr>
      <w:pBdr/>
      <w:spacing/>
      <w:ind/>
    </w:pPr>
    <w:rPr>
      <w:b/>
      <w:bCs/>
    </w:rPr>
  </w:style>
  <w:style w:type="character" w:styleId="699" w:customStyle="1">
    <w:name w:val="Comment Subject Char"/>
    <w:basedOn w:val="697"/>
    <w:link w:val="698"/>
    <w:uiPriority w:val="99"/>
    <w:semiHidden/>
    <w:pPr>
      <w:pBdr/>
      <w:spacing/>
      <w:ind/>
    </w:pPr>
    <w:rPr>
      <w:b/>
      <w:bCs/>
      <w:sz w:val="20"/>
      <w:szCs w:val="2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eader" Target="header1.xml" /><Relationship Id="rId9" Type="http://schemas.openxmlformats.org/officeDocument/2006/relationships/hyperlink" Target="https://www.acup2025.com/" TargetMode="External"/><Relationship Id="rId10" Type="http://schemas.openxmlformats.org/officeDocument/2006/relationships/image" Target="media/image1.jpg"/><Relationship Id="rId11" Type="http://schemas.openxmlformats.org/officeDocument/2006/relationships/image" Target="media/image2.jp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gif"/><Relationship Id="rId15" Type="http://schemas.openxmlformats.org/officeDocument/2006/relationships/image" Target="media/image6.png"/><Relationship Id="rId16" Type="http://schemas.openxmlformats.org/officeDocument/2006/relationships/hyperlink" Target="https://maps.app.goo.gl/owuETkkwNpegJh458" TargetMode="External"/><Relationship Id="rId17" Type="http://schemas.openxmlformats.org/officeDocument/2006/relationships/image" Target="media/image7.png"/><Relationship Id="rId18" Type="http://schemas.openxmlformats.org/officeDocument/2006/relationships/comments" Target="comments.xml" /><Relationship Id="rId19" Type="http://schemas.microsoft.com/office/2011/relationships/commentsExtended" Target="commentsExtended.xml" /><Relationship Id="rId20" Type="http://schemas.microsoft.com/office/2018/08/relationships/commentsExtensible" Target="commentsExtensible.xml" /><Relationship Id="rId21" Type="http://schemas.microsoft.com/office/2016/09/relationships/commentsIds" Target="commentsIds.xml" /><Relationship Id="rId22" Type="http://schemas.microsoft.com/office/2011/relationships/people" Target="people.xml" 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Arial"/>
        <a:cs typeface="Arial"/>
      </a:majorFont>
      <a:minorFont>
        <a:latin typeface="Aptos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ONLYOFFICE/8.2.0.143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楊尚樺</dc:creator>
  <cp:keywords/>
  <dc:description/>
  <cp:revision>11</cp:revision>
  <dcterms:created xsi:type="dcterms:W3CDTF">2025-03-23T14:55:00Z</dcterms:created>
  <dcterms:modified xsi:type="dcterms:W3CDTF">2025-03-24T02:37:24Z</dcterms:modified>
</cp:coreProperties>
</file>