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D5514" w14:textId="5F5BC345" w:rsidR="007D425B" w:rsidRPr="00BC433B" w:rsidRDefault="00000000" w:rsidP="00BC433B">
      <w:pPr>
        <w:pStyle w:val="1"/>
        <w:rPr>
          <w:rFonts w:eastAsia="新細明體"/>
          <w:lang w:eastAsia="zh-TW"/>
        </w:rPr>
      </w:pPr>
      <w:r>
        <w:t>Conference Program – Thursday &amp; Friday, Jun 26–27, 2025</w:t>
      </w: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5640"/>
        <w:gridCol w:w="1872"/>
        <w:gridCol w:w="5436"/>
      </w:tblGrid>
      <w:tr w:rsidR="008C74CD" w:rsidRPr="00A0286F" w14:paraId="3F3AC2FA" w14:textId="77777777" w:rsidTr="00BB2A8D">
        <w:trPr>
          <w:jc w:val="center"/>
        </w:trPr>
        <w:tc>
          <w:tcPr>
            <w:tcW w:w="1668" w:type="dxa"/>
            <w:shd w:val="clear" w:color="auto" w:fill="5F497A" w:themeFill="accent4" w:themeFillShade="BF"/>
          </w:tcPr>
          <w:p w14:paraId="50D59577" w14:textId="5908C39C" w:rsidR="008C74CD" w:rsidRPr="00A0286F" w:rsidRDefault="008C74CD" w:rsidP="00AB1C46">
            <w:pPr>
              <w:jc w:val="center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eastAsia="新細明體" w:hAnsiTheme="majorHAnsi" w:cstheme="majorHAnsi"/>
                <w:b/>
                <w:color w:val="FFFFFF"/>
                <w:lang w:eastAsia="zh-TW"/>
              </w:rPr>
              <w:t>June 26th</w:t>
            </w:r>
          </w:p>
        </w:tc>
        <w:tc>
          <w:tcPr>
            <w:tcW w:w="5640" w:type="dxa"/>
            <w:shd w:val="clear" w:color="auto" w:fill="5F497A" w:themeFill="accent4" w:themeFillShade="BF"/>
          </w:tcPr>
          <w:p w14:paraId="2CD3CEB9" w14:textId="1FD47008" w:rsidR="008C74CD" w:rsidRPr="00A0286F" w:rsidRDefault="008C74CD" w:rsidP="00AB1C46">
            <w:pPr>
              <w:jc w:val="center"/>
              <w:rPr>
                <w:rFonts w:asciiTheme="majorHAnsi" w:eastAsia="新細明體" w:hAnsiTheme="majorHAnsi" w:cstheme="majorHAnsi"/>
                <w:b/>
                <w:color w:val="FFFFFF"/>
                <w:lang w:eastAsia="zh-TW"/>
              </w:rPr>
            </w:pPr>
            <w:r w:rsidRPr="00A0286F">
              <w:rPr>
                <w:rFonts w:asciiTheme="majorHAnsi" w:hAnsiTheme="majorHAnsi" w:cstheme="majorHAnsi"/>
                <w:b/>
                <w:color w:val="FFFFFF"/>
              </w:rPr>
              <w:t>Session</w:t>
            </w:r>
            <w:r w:rsidRPr="00A0286F">
              <w:rPr>
                <w:rFonts w:asciiTheme="majorHAnsi" w:eastAsia="新細明體" w:hAnsiTheme="majorHAnsi" w:cstheme="majorHAnsi"/>
                <w:b/>
                <w:color w:val="FFFFFF"/>
                <w:lang w:eastAsia="zh-TW"/>
              </w:rPr>
              <w:t>/</w:t>
            </w:r>
            <w:r w:rsidRPr="00A0286F">
              <w:rPr>
                <w:rFonts w:asciiTheme="majorHAnsi" w:hAnsiTheme="majorHAnsi" w:cstheme="majorHAnsi"/>
                <w:b/>
                <w:color w:val="FFFFFF"/>
              </w:rPr>
              <w:t xml:space="preserve"> Speaker</w:t>
            </w:r>
          </w:p>
        </w:tc>
        <w:tc>
          <w:tcPr>
            <w:tcW w:w="1872" w:type="dxa"/>
            <w:shd w:val="clear" w:color="auto" w:fill="5F497A" w:themeFill="accent4" w:themeFillShade="BF"/>
          </w:tcPr>
          <w:p w14:paraId="6C0EFC11" w14:textId="61C98068" w:rsidR="008C74CD" w:rsidRPr="00A0286F" w:rsidRDefault="008C74CD" w:rsidP="00AB1C46">
            <w:pPr>
              <w:jc w:val="center"/>
              <w:rPr>
                <w:rFonts w:asciiTheme="majorHAnsi" w:eastAsia="新細明體" w:hAnsiTheme="majorHAnsi" w:cstheme="majorHAnsi"/>
                <w:b/>
                <w:color w:val="FFFFFF"/>
                <w:lang w:eastAsia="zh-TW"/>
              </w:rPr>
            </w:pPr>
            <w:r w:rsidRPr="00A0286F">
              <w:rPr>
                <w:rFonts w:asciiTheme="majorHAnsi" w:eastAsia="新細明體" w:hAnsiTheme="majorHAnsi" w:cstheme="majorHAnsi"/>
                <w:b/>
                <w:color w:val="FFFFFF"/>
                <w:lang w:eastAsia="zh-TW"/>
              </w:rPr>
              <w:t>June 27th</w:t>
            </w:r>
          </w:p>
        </w:tc>
        <w:tc>
          <w:tcPr>
            <w:tcW w:w="5436" w:type="dxa"/>
            <w:shd w:val="clear" w:color="auto" w:fill="5F497A" w:themeFill="accent4" w:themeFillShade="BF"/>
          </w:tcPr>
          <w:p w14:paraId="54AE568A" w14:textId="11FFC33F" w:rsidR="008C74CD" w:rsidRPr="00A0286F" w:rsidRDefault="008C74CD" w:rsidP="00AB1C46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  <w:b/>
                <w:color w:val="FFFFFF"/>
              </w:rPr>
              <w:t>Session</w:t>
            </w:r>
            <w:r w:rsidRPr="00A0286F">
              <w:rPr>
                <w:rFonts w:asciiTheme="majorHAnsi" w:eastAsia="新細明體" w:hAnsiTheme="majorHAnsi" w:cstheme="majorHAnsi"/>
                <w:b/>
                <w:color w:val="FFFFFF"/>
                <w:lang w:eastAsia="zh-TW"/>
              </w:rPr>
              <w:t>/</w:t>
            </w:r>
            <w:r w:rsidRPr="00A0286F">
              <w:rPr>
                <w:rFonts w:asciiTheme="majorHAnsi" w:hAnsiTheme="majorHAnsi" w:cstheme="majorHAnsi"/>
                <w:b/>
                <w:color w:val="FFFFFF"/>
              </w:rPr>
              <w:t xml:space="preserve"> Speaker</w:t>
            </w:r>
          </w:p>
        </w:tc>
      </w:tr>
      <w:tr w:rsidR="008B66DC" w:rsidRPr="00A0286F" w14:paraId="6F757738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4C56B84D" w14:textId="77777777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0800–0820</w:t>
            </w:r>
          </w:p>
        </w:tc>
        <w:tc>
          <w:tcPr>
            <w:tcW w:w="5640" w:type="dxa"/>
            <w:shd w:val="clear" w:color="auto" w:fill="CCC0D9" w:themeFill="accent4" w:themeFillTint="66"/>
          </w:tcPr>
          <w:p w14:paraId="35E946C1" w14:textId="7F89CB22" w:rsidR="008B66DC" w:rsidRPr="00A0286F" w:rsidRDefault="008B66DC" w:rsidP="008B66DC">
            <w:pPr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Arrival &amp; Registration</w:t>
            </w:r>
          </w:p>
        </w:tc>
        <w:tc>
          <w:tcPr>
            <w:tcW w:w="1872" w:type="dxa"/>
            <w:shd w:val="clear" w:color="auto" w:fill="CCC0D9" w:themeFill="accent4" w:themeFillTint="66"/>
            <w:vAlign w:val="center"/>
          </w:tcPr>
          <w:p w14:paraId="2AA6AF92" w14:textId="49D8F687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0800–0820</w:t>
            </w:r>
          </w:p>
        </w:tc>
        <w:tc>
          <w:tcPr>
            <w:tcW w:w="5436" w:type="dxa"/>
            <w:shd w:val="clear" w:color="auto" w:fill="CCC0D9" w:themeFill="accent4" w:themeFillTint="66"/>
          </w:tcPr>
          <w:p w14:paraId="514C195A" w14:textId="15E91A67" w:rsidR="008B66DC" w:rsidRPr="00A0286F" w:rsidRDefault="008B66DC" w:rsidP="008B66DC">
            <w:pPr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Arrival &amp; Registration</w:t>
            </w:r>
          </w:p>
        </w:tc>
      </w:tr>
      <w:tr w:rsidR="008B66DC" w:rsidRPr="00A0286F" w14:paraId="51A549E4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086BA445" w14:textId="77777777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0820–0830</w:t>
            </w:r>
          </w:p>
        </w:tc>
        <w:tc>
          <w:tcPr>
            <w:tcW w:w="5640" w:type="dxa"/>
            <w:shd w:val="clear" w:color="auto" w:fill="CCC0D9" w:themeFill="accent4" w:themeFillTint="66"/>
          </w:tcPr>
          <w:p w14:paraId="2489A789" w14:textId="6442C532" w:rsidR="008B66DC" w:rsidRPr="00A0286F" w:rsidRDefault="008B66DC" w:rsidP="008B66DC">
            <w:pPr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Opening Remarks</w:t>
            </w:r>
          </w:p>
        </w:tc>
        <w:tc>
          <w:tcPr>
            <w:tcW w:w="1872" w:type="dxa"/>
            <w:shd w:val="clear" w:color="auto" w:fill="CCC0D9" w:themeFill="accent4" w:themeFillTint="66"/>
            <w:vAlign w:val="center"/>
          </w:tcPr>
          <w:p w14:paraId="3852C6C0" w14:textId="2376653F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0820–0830</w:t>
            </w:r>
          </w:p>
        </w:tc>
        <w:tc>
          <w:tcPr>
            <w:tcW w:w="5436" w:type="dxa"/>
            <w:shd w:val="clear" w:color="auto" w:fill="CCC0D9" w:themeFill="accent4" w:themeFillTint="66"/>
          </w:tcPr>
          <w:p w14:paraId="4FECFCA6" w14:textId="57AA38D2" w:rsidR="008B66DC" w:rsidRPr="00A0286F" w:rsidRDefault="008B66DC" w:rsidP="008B66DC">
            <w:pPr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Opening Remarks</w:t>
            </w:r>
          </w:p>
        </w:tc>
      </w:tr>
      <w:tr w:rsidR="008C74CD" w:rsidRPr="00A0286F" w14:paraId="6205865A" w14:textId="77777777" w:rsidTr="00FF71D4">
        <w:trPr>
          <w:jc w:val="center"/>
        </w:trPr>
        <w:tc>
          <w:tcPr>
            <w:tcW w:w="7308" w:type="dxa"/>
            <w:gridSpan w:val="2"/>
            <w:shd w:val="clear" w:color="auto" w:fill="FFF2CC"/>
          </w:tcPr>
          <w:p w14:paraId="0EA70C37" w14:textId="77777777" w:rsidR="008C74CD" w:rsidRPr="00A0286F" w:rsidRDefault="008C74CD" w:rsidP="008C74CD">
            <w:pPr>
              <w:jc w:val="center"/>
              <w:rPr>
                <w:rFonts w:asciiTheme="majorHAnsi" w:eastAsia="新細明體" w:hAnsiTheme="majorHAnsi" w:cstheme="majorHAnsi"/>
                <w:b/>
                <w:bCs/>
                <w:lang w:eastAsia="zh-TW"/>
              </w:rPr>
            </w:pPr>
            <w:r w:rsidRPr="00A0286F">
              <w:rPr>
                <w:rFonts w:asciiTheme="majorHAnsi" w:hAnsiTheme="majorHAnsi" w:cstheme="majorHAnsi"/>
                <w:b/>
                <w:bCs/>
              </w:rPr>
              <w:t>THz photonics I</w:t>
            </w:r>
          </w:p>
          <w:p w14:paraId="19A26AC8" w14:textId="6FD66329" w:rsidR="008C74CD" w:rsidRPr="00A0286F" w:rsidRDefault="008C74CD" w:rsidP="008C74CD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eastAsia="新細明體" w:hAnsiTheme="majorHAnsi" w:cstheme="majorHAnsi"/>
                <w:lang w:eastAsia="zh-TW"/>
              </w:rPr>
              <w:t xml:space="preserve">Chair: </w:t>
            </w:r>
            <w:r w:rsidRPr="00A0286F">
              <w:rPr>
                <w:rFonts w:asciiTheme="majorHAnsi" w:hAnsiTheme="majorHAnsi" w:cstheme="majorHAnsi"/>
              </w:rPr>
              <w:t>Shang-Hua Yang</w:t>
            </w:r>
          </w:p>
        </w:tc>
        <w:tc>
          <w:tcPr>
            <w:tcW w:w="7308" w:type="dxa"/>
            <w:gridSpan w:val="2"/>
            <w:shd w:val="clear" w:color="auto" w:fill="FFF2CC"/>
          </w:tcPr>
          <w:p w14:paraId="54CD8955" w14:textId="77777777" w:rsidR="008C74CD" w:rsidRPr="00A0286F" w:rsidRDefault="008C74CD" w:rsidP="008C74CD">
            <w:pPr>
              <w:jc w:val="center"/>
              <w:rPr>
                <w:rFonts w:asciiTheme="majorHAnsi" w:eastAsia="新細明體" w:hAnsiTheme="majorHAnsi" w:cstheme="majorHAnsi"/>
                <w:b/>
                <w:bCs/>
                <w:lang w:eastAsia="zh-TW"/>
              </w:rPr>
            </w:pPr>
            <w:r w:rsidRPr="00A0286F">
              <w:rPr>
                <w:rFonts w:asciiTheme="majorHAnsi" w:eastAsia="新細明體" w:hAnsiTheme="majorHAnsi" w:cstheme="majorHAnsi"/>
                <w:b/>
                <w:bCs/>
                <w:lang w:eastAsia="zh-TW"/>
              </w:rPr>
              <w:t>THz Electronics &amp; Communications I</w:t>
            </w:r>
          </w:p>
          <w:p w14:paraId="3E9B2C76" w14:textId="6C1A61B6" w:rsidR="008C74CD" w:rsidRPr="00A0286F" w:rsidRDefault="008C74CD" w:rsidP="008C74CD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eastAsia="新細明體" w:hAnsiTheme="majorHAnsi" w:cstheme="majorHAnsi"/>
                <w:lang w:eastAsia="zh-TW"/>
              </w:rPr>
              <w:t>Chair: Chia-Yi Yeh</w:t>
            </w:r>
          </w:p>
        </w:tc>
      </w:tr>
      <w:tr w:rsidR="00FF71D4" w:rsidRPr="00A0286F" w14:paraId="5A2CFB95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09002296" w14:textId="58FD253C" w:rsidR="00FF71D4" w:rsidRPr="00A0286F" w:rsidRDefault="00FF71D4" w:rsidP="00FF71D4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0830–0915</w:t>
            </w:r>
          </w:p>
        </w:tc>
        <w:tc>
          <w:tcPr>
            <w:tcW w:w="5640" w:type="dxa"/>
            <w:shd w:val="clear" w:color="auto" w:fill="CCC0D9" w:themeFill="accent4" w:themeFillTint="66"/>
          </w:tcPr>
          <w:p w14:paraId="7B280A73" w14:textId="0EF6B8DA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Th1-1</w:t>
            </w:r>
            <w:r w:rsidR="00BB2A8D" w:rsidRPr="00A0286F">
              <w:rPr>
                <w:rFonts w:asciiTheme="majorHAnsi" w:eastAsia="新細明體" w:hAnsiTheme="majorHAnsi" w:cstheme="majorHAnsi"/>
                <w:lang w:eastAsia="zh-TW"/>
              </w:rPr>
              <w:t xml:space="preserve"> </w:t>
            </w:r>
            <w:r w:rsidR="00BB2A8D" w:rsidRPr="00A0286F">
              <w:rPr>
                <w:rFonts w:asciiTheme="majorHAnsi" w:hAnsiTheme="majorHAnsi" w:cstheme="majorHAnsi"/>
              </w:rPr>
              <w:t>(Plenary)</w:t>
            </w:r>
          </w:p>
          <w:p w14:paraId="653B7994" w14:textId="12F6A8BA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eastAsia="新細明體" w:hAnsiTheme="majorHAnsi" w:cstheme="majorHAnsi"/>
                <w:lang w:eastAsia="zh-TW"/>
              </w:rPr>
              <w:t>Willie Padilla</w:t>
            </w:r>
            <w:r w:rsidR="00BB2A8D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BB2A8D" w:rsidRPr="00A0286F">
              <w:rPr>
                <w:rFonts w:asciiTheme="majorHAnsi" w:hAnsiTheme="majorHAnsi" w:cstheme="majorHAnsi"/>
              </w:rPr>
              <w:t xml:space="preserve"> </w:t>
            </w:r>
            <w:r w:rsidR="00BB2A8D" w:rsidRPr="00A0286F">
              <w:rPr>
                <w:rFonts w:asciiTheme="majorHAnsi" w:eastAsia="新細明體" w:hAnsiTheme="majorHAnsi" w:cstheme="majorHAnsi"/>
                <w:lang w:eastAsia="zh-TW"/>
              </w:rPr>
              <w:t>Duke University</w:t>
            </w:r>
          </w:p>
        </w:tc>
        <w:tc>
          <w:tcPr>
            <w:tcW w:w="1872" w:type="dxa"/>
            <w:shd w:val="clear" w:color="auto" w:fill="CCC0D9" w:themeFill="accent4" w:themeFillTint="66"/>
            <w:vAlign w:val="center"/>
          </w:tcPr>
          <w:p w14:paraId="2EE5D999" w14:textId="193EEA3F" w:rsidR="00FF71D4" w:rsidRPr="00A0286F" w:rsidRDefault="00FF71D4" w:rsidP="00FF71D4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0830–0915</w:t>
            </w:r>
          </w:p>
        </w:tc>
        <w:tc>
          <w:tcPr>
            <w:tcW w:w="5436" w:type="dxa"/>
            <w:shd w:val="clear" w:color="auto" w:fill="CCC0D9" w:themeFill="accent4" w:themeFillTint="66"/>
          </w:tcPr>
          <w:p w14:paraId="22235568" w14:textId="445EAA98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Fr1-1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(Plenary)</w:t>
            </w:r>
          </w:p>
          <w:p w14:paraId="35B41F99" w14:textId="036AF9A2" w:rsidR="00FF71D4" w:rsidRPr="00A0286F" w:rsidRDefault="00FF71D4" w:rsidP="00FF71D4">
            <w:pPr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Jong-Shinn Wu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Taiwan Space Agency</w:t>
            </w:r>
          </w:p>
        </w:tc>
      </w:tr>
      <w:tr w:rsidR="00FF71D4" w:rsidRPr="00A0286F" w14:paraId="6164B1F5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0ABC7C84" w14:textId="1164409C" w:rsidR="00FF71D4" w:rsidRPr="00A0286F" w:rsidRDefault="00FF71D4" w:rsidP="00FF71D4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0915–1000</w:t>
            </w:r>
          </w:p>
        </w:tc>
        <w:tc>
          <w:tcPr>
            <w:tcW w:w="5640" w:type="dxa"/>
            <w:shd w:val="clear" w:color="auto" w:fill="CCC0D9" w:themeFill="accent4" w:themeFillTint="66"/>
          </w:tcPr>
          <w:p w14:paraId="29D2F728" w14:textId="6A0CE006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Th1-2</w:t>
            </w:r>
            <w:r w:rsidR="00BB2A8D" w:rsidRPr="00A0286F">
              <w:rPr>
                <w:rFonts w:asciiTheme="majorHAnsi" w:eastAsia="新細明體" w:hAnsiTheme="majorHAnsi" w:cstheme="majorHAnsi"/>
                <w:lang w:eastAsia="zh-TW"/>
              </w:rPr>
              <w:t xml:space="preserve"> </w:t>
            </w:r>
            <w:r w:rsidR="00BB2A8D" w:rsidRPr="00A0286F">
              <w:rPr>
                <w:rFonts w:asciiTheme="majorHAnsi" w:hAnsiTheme="majorHAnsi" w:cstheme="majorHAnsi"/>
              </w:rPr>
              <w:t>(Plenary)</w:t>
            </w:r>
          </w:p>
          <w:p w14:paraId="7C019151" w14:textId="654A7841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Joo-Hiuk Son</w:t>
            </w:r>
            <w:r w:rsidR="00BB2A8D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BB2A8D" w:rsidRPr="00A0286F">
              <w:rPr>
                <w:rFonts w:asciiTheme="majorHAnsi" w:hAnsiTheme="majorHAnsi" w:cstheme="majorHAnsi"/>
                <w:kern w:val="2"/>
                <w:sz w:val="24"/>
                <w:szCs w:val="24"/>
                <w:lang w:eastAsia="zh-TW"/>
                <w14:ligatures w14:val="standardContextual"/>
              </w:rPr>
              <w:t xml:space="preserve"> </w:t>
            </w:r>
            <w:r w:rsidR="00BB2A8D" w:rsidRPr="00A0286F">
              <w:rPr>
                <w:rFonts w:asciiTheme="majorHAnsi" w:eastAsia="新細明體" w:hAnsiTheme="majorHAnsi" w:cstheme="majorHAnsi"/>
                <w:lang w:eastAsia="zh-TW"/>
              </w:rPr>
              <w:t>University of Seoul</w:t>
            </w:r>
          </w:p>
        </w:tc>
        <w:tc>
          <w:tcPr>
            <w:tcW w:w="1872" w:type="dxa"/>
            <w:shd w:val="clear" w:color="auto" w:fill="CCC0D9" w:themeFill="accent4" w:themeFillTint="66"/>
            <w:vAlign w:val="center"/>
          </w:tcPr>
          <w:p w14:paraId="2E3C3079" w14:textId="1DAD1F66" w:rsidR="00FF71D4" w:rsidRPr="00A0286F" w:rsidRDefault="00FF71D4" w:rsidP="00FF71D4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0915–1000</w:t>
            </w:r>
          </w:p>
        </w:tc>
        <w:tc>
          <w:tcPr>
            <w:tcW w:w="5436" w:type="dxa"/>
            <w:shd w:val="clear" w:color="auto" w:fill="CCC0D9" w:themeFill="accent4" w:themeFillTint="66"/>
          </w:tcPr>
          <w:p w14:paraId="1D369653" w14:textId="2B038DDF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Fr1-2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(Plenary)</w:t>
            </w:r>
          </w:p>
          <w:p w14:paraId="6330C78F" w14:textId="6436D5F5" w:rsidR="00FF71D4" w:rsidRPr="00A0286F" w:rsidRDefault="00FF71D4" w:rsidP="00FF71D4">
            <w:pPr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Minoru Fujishima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Hiroshima University</w:t>
            </w:r>
          </w:p>
        </w:tc>
      </w:tr>
      <w:tr w:rsidR="008B66DC" w:rsidRPr="00A0286F" w14:paraId="0E2044FD" w14:textId="77777777" w:rsidTr="00BB2A8D">
        <w:trPr>
          <w:jc w:val="center"/>
        </w:trPr>
        <w:tc>
          <w:tcPr>
            <w:tcW w:w="1668" w:type="dxa"/>
            <w:shd w:val="clear" w:color="auto" w:fill="E2EFDA"/>
            <w:vAlign w:val="center"/>
          </w:tcPr>
          <w:p w14:paraId="6F0BEB41" w14:textId="77777777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0286F">
              <w:rPr>
                <w:rFonts w:asciiTheme="majorHAnsi" w:hAnsiTheme="majorHAnsi" w:cstheme="majorHAnsi"/>
                <w:b/>
                <w:bCs/>
              </w:rPr>
              <w:t>1000–1020</w:t>
            </w:r>
          </w:p>
        </w:tc>
        <w:tc>
          <w:tcPr>
            <w:tcW w:w="12948" w:type="dxa"/>
            <w:gridSpan w:val="3"/>
            <w:shd w:val="clear" w:color="auto" w:fill="E2EFDA"/>
          </w:tcPr>
          <w:p w14:paraId="20523DF9" w14:textId="69A7AF37" w:rsidR="008B66DC" w:rsidRPr="00A0286F" w:rsidRDefault="008B66DC" w:rsidP="008B66D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0286F">
              <w:rPr>
                <w:rFonts w:asciiTheme="majorHAnsi" w:hAnsiTheme="majorHAnsi" w:cstheme="majorHAnsi"/>
                <w:b/>
                <w:bCs/>
              </w:rPr>
              <w:t>Coffee Break</w:t>
            </w:r>
          </w:p>
        </w:tc>
      </w:tr>
      <w:tr w:rsidR="008C74CD" w:rsidRPr="00A0286F" w14:paraId="5555ABE8" w14:textId="77777777" w:rsidTr="00FF71D4">
        <w:trPr>
          <w:jc w:val="center"/>
        </w:trPr>
        <w:tc>
          <w:tcPr>
            <w:tcW w:w="7308" w:type="dxa"/>
            <w:gridSpan w:val="2"/>
            <w:shd w:val="clear" w:color="auto" w:fill="FFF2CC"/>
          </w:tcPr>
          <w:p w14:paraId="6DD005CD" w14:textId="77777777" w:rsidR="008C74CD" w:rsidRPr="00A0286F" w:rsidRDefault="008C74CD" w:rsidP="008C74CD">
            <w:pPr>
              <w:jc w:val="center"/>
              <w:rPr>
                <w:rFonts w:asciiTheme="majorHAnsi" w:eastAsia="新細明體" w:hAnsiTheme="majorHAnsi" w:cstheme="majorHAnsi"/>
                <w:b/>
                <w:bCs/>
                <w:lang w:eastAsia="zh-TW"/>
              </w:rPr>
            </w:pPr>
            <w:r w:rsidRPr="00A0286F">
              <w:rPr>
                <w:rFonts w:asciiTheme="majorHAnsi" w:hAnsiTheme="majorHAnsi" w:cstheme="majorHAnsi"/>
                <w:b/>
                <w:bCs/>
              </w:rPr>
              <w:t>THz photonics II</w:t>
            </w:r>
          </w:p>
          <w:p w14:paraId="5B0F2680" w14:textId="607B7AC3" w:rsidR="008C74CD" w:rsidRPr="00A0286F" w:rsidRDefault="008C74CD" w:rsidP="008C74CD">
            <w:pPr>
              <w:jc w:val="center"/>
              <w:rPr>
                <w:rFonts w:asciiTheme="majorHAnsi" w:eastAsia="新細明體" w:hAnsiTheme="majorHAnsi" w:cstheme="majorHAnsi"/>
                <w:b/>
                <w:bCs/>
                <w:lang w:eastAsia="zh-TW"/>
              </w:rPr>
            </w:pPr>
            <w:r w:rsidRPr="00A0286F">
              <w:rPr>
                <w:rFonts w:asciiTheme="majorHAnsi" w:eastAsia="新細明體" w:hAnsiTheme="majorHAnsi" w:cstheme="majorHAnsi"/>
                <w:lang w:eastAsia="zh-TW"/>
              </w:rPr>
              <w:t xml:space="preserve">Chair: </w:t>
            </w:r>
            <w:r w:rsidRPr="00A0286F">
              <w:rPr>
                <w:rFonts w:asciiTheme="majorHAnsi" w:hAnsiTheme="majorHAnsi" w:cstheme="majorHAnsi"/>
              </w:rPr>
              <w:t>Rayko Ivanov Stantchev</w:t>
            </w:r>
          </w:p>
        </w:tc>
        <w:tc>
          <w:tcPr>
            <w:tcW w:w="7308" w:type="dxa"/>
            <w:gridSpan w:val="2"/>
            <w:shd w:val="clear" w:color="auto" w:fill="FFF2CC"/>
          </w:tcPr>
          <w:p w14:paraId="184E9B7E" w14:textId="77777777" w:rsidR="008B66DC" w:rsidRPr="00A0286F" w:rsidRDefault="008B66DC" w:rsidP="008B66DC">
            <w:pPr>
              <w:jc w:val="center"/>
              <w:rPr>
                <w:rFonts w:asciiTheme="majorHAnsi" w:eastAsia="新細明體" w:hAnsiTheme="majorHAnsi" w:cstheme="majorHAnsi"/>
                <w:b/>
                <w:bCs/>
                <w:lang w:eastAsia="zh-TW"/>
              </w:rPr>
            </w:pPr>
            <w:r w:rsidRPr="00A0286F">
              <w:rPr>
                <w:rFonts w:asciiTheme="majorHAnsi" w:eastAsia="新細明體" w:hAnsiTheme="majorHAnsi" w:cstheme="majorHAnsi"/>
                <w:b/>
                <w:bCs/>
                <w:lang w:eastAsia="zh-TW"/>
              </w:rPr>
              <w:t>THz Electronics &amp; Communications II</w:t>
            </w:r>
          </w:p>
          <w:p w14:paraId="6D3996A8" w14:textId="1AAFE527" w:rsidR="008C74CD" w:rsidRPr="00A0286F" w:rsidRDefault="008B66DC" w:rsidP="008B66DC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eastAsia="新細明體" w:hAnsiTheme="majorHAnsi" w:cstheme="majorHAnsi"/>
                <w:lang w:eastAsia="zh-TW"/>
              </w:rPr>
              <w:t>Chair: Yu-Hsiang Cheng</w:t>
            </w:r>
          </w:p>
        </w:tc>
      </w:tr>
      <w:tr w:rsidR="008B66DC" w:rsidRPr="00A0286F" w14:paraId="67BB3444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070354FC" w14:textId="77777777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1020–1050</w:t>
            </w:r>
          </w:p>
        </w:tc>
        <w:tc>
          <w:tcPr>
            <w:tcW w:w="5640" w:type="dxa"/>
            <w:shd w:val="clear" w:color="auto" w:fill="CCC0D9" w:themeFill="accent4" w:themeFillTint="66"/>
          </w:tcPr>
          <w:p w14:paraId="5482E67C" w14:textId="77777777" w:rsidR="008B66DC" w:rsidRPr="00A0286F" w:rsidRDefault="008B66DC" w:rsidP="008B66DC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Th2-1</w:t>
            </w:r>
          </w:p>
          <w:p w14:paraId="25E00E6E" w14:textId="3BBADAA3" w:rsidR="008B66DC" w:rsidRPr="00A0286F" w:rsidRDefault="008B66DC" w:rsidP="008B66DC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Shang-Hua Yang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National Tsing Hua University</w:t>
            </w:r>
          </w:p>
        </w:tc>
        <w:tc>
          <w:tcPr>
            <w:tcW w:w="1872" w:type="dxa"/>
            <w:shd w:val="clear" w:color="auto" w:fill="CCC0D9" w:themeFill="accent4" w:themeFillTint="66"/>
            <w:vAlign w:val="center"/>
          </w:tcPr>
          <w:p w14:paraId="5D389469" w14:textId="125E7384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1020–1050</w:t>
            </w:r>
          </w:p>
        </w:tc>
        <w:tc>
          <w:tcPr>
            <w:tcW w:w="5436" w:type="dxa"/>
            <w:shd w:val="clear" w:color="auto" w:fill="CCC0D9" w:themeFill="accent4" w:themeFillTint="66"/>
          </w:tcPr>
          <w:p w14:paraId="7AF84A29" w14:textId="77777777" w:rsidR="008B66DC" w:rsidRPr="00A0286F" w:rsidRDefault="008B66DC" w:rsidP="008B66DC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Fr2-1</w:t>
            </w:r>
          </w:p>
          <w:p w14:paraId="1F96655C" w14:textId="23BDC218" w:rsidR="008B66DC" w:rsidRPr="00A0286F" w:rsidRDefault="008B66DC" w:rsidP="008B66DC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Chun-Hsing Li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National Taiwan University</w:t>
            </w:r>
          </w:p>
        </w:tc>
      </w:tr>
      <w:tr w:rsidR="008B66DC" w:rsidRPr="00A0286F" w14:paraId="12C3D3D7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13D0F73D" w14:textId="77777777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1050–1120</w:t>
            </w:r>
          </w:p>
        </w:tc>
        <w:tc>
          <w:tcPr>
            <w:tcW w:w="5640" w:type="dxa"/>
            <w:shd w:val="clear" w:color="auto" w:fill="CCC0D9" w:themeFill="accent4" w:themeFillTint="66"/>
          </w:tcPr>
          <w:p w14:paraId="392BFA82" w14:textId="77777777" w:rsidR="008B66DC" w:rsidRPr="00A0286F" w:rsidRDefault="008B66DC" w:rsidP="008B66DC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Th2-2</w:t>
            </w:r>
          </w:p>
          <w:p w14:paraId="52A98D2A" w14:textId="1DDF35B4" w:rsidR="008B66DC" w:rsidRPr="00A0286F" w:rsidRDefault="008B66DC" w:rsidP="008B66DC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Bumki Min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Korea Advanced Institute of Science &amp; Technology</w:t>
            </w:r>
          </w:p>
        </w:tc>
        <w:tc>
          <w:tcPr>
            <w:tcW w:w="1872" w:type="dxa"/>
            <w:shd w:val="clear" w:color="auto" w:fill="CCC0D9" w:themeFill="accent4" w:themeFillTint="66"/>
            <w:vAlign w:val="center"/>
          </w:tcPr>
          <w:p w14:paraId="17C72EAD" w14:textId="4C824C65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1050–1120</w:t>
            </w:r>
          </w:p>
        </w:tc>
        <w:tc>
          <w:tcPr>
            <w:tcW w:w="5436" w:type="dxa"/>
            <w:shd w:val="clear" w:color="auto" w:fill="CCC0D9" w:themeFill="accent4" w:themeFillTint="66"/>
          </w:tcPr>
          <w:p w14:paraId="56C4421C" w14:textId="77777777" w:rsidR="008B66DC" w:rsidRPr="00A0286F" w:rsidRDefault="008B66DC" w:rsidP="008B66DC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Fr2-2</w:t>
            </w:r>
          </w:p>
          <w:p w14:paraId="4D997254" w14:textId="1C185CAB" w:rsidR="008B66DC" w:rsidRPr="00A0286F" w:rsidRDefault="008B66DC" w:rsidP="008B66DC">
            <w:pPr>
              <w:rPr>
                <w:rFonts w:asciiTheme="majorHAnsi" w:hAnsiTheme="majorHAnsi" w:cstheme="majorHAnsi"/>
              </w:rPr>
            </w:pPr>
            <w:proofErr w:type="spellStart"/>
            <w:r w:rsidRPr="00A0286F">
              <w:rPr>
                <w:rFonts w:asciiTheme="majorHAnsi" w:hAnsiTheme="majorHAnsi" w:cstheme="majorHAnsi"/>
              </w:rPr>
              <w:t>Tzyy</w:t>
            </w:r>
            <w:proofErr w:type="spellEnd"/>
            <w:r w:rsidRPr="00A0286F">
              <w:rPr>
                <w:rFonts w:asciiTheme="majorHAnsi" w:hAnsiTheme="majorHAnsi" w:cstheme="majorHAnsi"/>
              </w:rPr>
              <w:t>-sheng Horng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National Sun Yat-sen University</w:t>
            </w:r>
          </w:p>
        </w:tc>
      </w:tr>
      <w:tr w:rsidR="008B66DC" w:rsidRPr="00A0286F" w14:paraId="7F50BEA0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7DA291FA" w14:textId="77777777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1120–1150</w:t>
            </w:r>
          </w:p>
        </w:tc>
        <w:tc>
          <w:tcPr>
            <w:tcW w:w="5640" w:type="dxa"/>
            <w:shd w:val="clear" w:color="auto" w:fill="CCC0D9" w:themeFill="accent4" w:themeFillTint="66"/>
          </w:tcPr>
          <w:p w14:paraId="21830000" w14:textId="77777777" w:rsidR="008B66DC" w:rsidRPr="00A0286F" w:rsidRDefault="008B66DC" w:rsidP="008B66DC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Th2-3</w:t>
            </w:r>
          </w:p>
          <w:p w14:paraId="60C730D5" w14:textId="159E83FD" w:rsidR="008B66DC" w:rsidRPr="00A0286F" w:rsidRDefault="008B66DC" w:rsidP="008B66DC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Chia-Yi Huang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A0286F" w:rsidRPr="00A0286F">
              <w:rPr>
                <w:rFonts w:asciiTheme="majorHAnsi" w:hAnsiTheme="majorHAnsi" w:cstheme="majorHAnsi"/>
              </w:rPr>
              <w:t>Tunghai</w:t>
            </w:r>
            <w:proofErr w:type="spellEnd"/>
            <w:r w:rsidR="00A0286F" w:rsidRPr="00A0286F">
              <w:rPr>
                <w:rFonts w:asciiTheme="majorHAnsi" w:hAnsiTheme="majorHAnsi" w:cstheme="majorHAnsi"/>
              </w:rPr>
              <w:t xml:space="preserve"> University</w:t>
            </w:r>
          </w:p>
        </w:tc>
        <w:tc>
          <w:tcPr>
            <w:tcW w:w="1872" w:type="dxa"/>
            <w:shd w:val="clear" w:color="auto" w:fill="CCC0D9" w:themeFill="accent4" w:themeFillTint="66"/>
            <w:vAlign w:val="center"/>
          </w:tcPr>
          <w:p w14:paraId="3ED898B6" w14:textId="3DB9966F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1120–1150</w:t>
            </w:r>
          </w:p>
        </w:tc>
        <w:tc>
          <w:tcPr>
            <w:tcW w:w="5436" w:type="dxa"/>
            <w:shd w:val="clear" w:color="auto" w:fill="CCC0D9" w:themeFill="accent4" w:themeFillTint="66"/>
          </w:tcPr>
          <w:p w14:paraId="3AA794F6" w14:textId="77777777" w:rsidR="008B66DC" w:rsidRPr="00A0286F" w:rsidRDefault="008B66DC" w:rsidP="008B66DC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Fr2-3</w:t>
            </w:r>
          </w:p>
          <w:p w14:paraId="54A955E3" w14:textId="29394DB9" w:rsidR="008B66DC" w:rsidRPr="00A0286F" w:rsidRDefault="008B66DC" w:rsidP="008B66DC">
            <w:pPr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Zuo-Min Tsai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National Yang Ming Chiao Tung University</w:t>
            </w:r>
          </w:p>
        </w:tc>
      </w:tr>
      <w:tr w:rsidR="008B66DC" w:rsidRPr="00A0286F" w14:paraId="2197B6F3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57AE062C" w14:textId="77777777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1150–1220</w:t>
            </w:r>
          </w:p>
        </w:tc>
        <w:tc>
          <w:tcPr>
            <w:tcW w:w="5640" w:type="dxa"/>
            <w:shd w:val="clear" w:color="auto" w:fill="CCC0D9" w:themeFill="accent4" w:themeFillTint="66"/>
          </w:tcPr>
          <w:p w14:paraId="596832A3" w14:textId="77777777" w:rsidR="008B66DC" w:rsidRPr="00A0286F" w:rsidRDefault="008B66DC" w:rsidP="008B66DC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Th2-4</w:t>
            </w:r>
          </w:p>
          <w:p w14:paraId="4A2F9E2D" w14:textId="10B7F5A2" w:rsidR="008B66DC" w:rsidRPr="00A0286F" w:rsidRDefault="008B66DC" w:rsidP="008B66DC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 xml:space="preserve">Kosuke </w:t>
            </w:r>
            <w:proofErr w:type="spellStart"/>
            <w:r w:rsidRPr="00A0286F">
              <w:rPr>
                <w:rFonts w:asciiTheme="majorHAnsi" w:hAnsiTheme="majorHAnsi" w:cstheme="majorHAnsi"/>
              </w:rPr>
              <w:t>Murate</w:t>
            </w:r>
            <w:proofErr w:type="spellEnd"/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Nagoya University</w:t>
            </w:r>
          </w:p>
        </w:tc>
        <w:tc>
          <w:tcPr>
            <w:tcW w:w="1872" w:type="dxa"/>
            <w:shd w:val="clear" w:color="auto" w:fill="CCC0D9" w:themeFill="accent4" w:themeFillTint="66"/>
            <w:vAlign w:val="center"/>
          </w:tcPr>
          <w:p w14:paraId="161BFE60" w14:textId="13CCEEB4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1150–1220</w:t>
            </w:r>
          </w:p>
        </w:tc>
        <w:tc>
          <w:tcPr>
            <w:tcW w:w="5436" w:type="dxa"/>
            <w:shd w:val="clear" w:color="auto" w:fill="CCC0D9" w:themeFill="accent4" w:themeFillTint="66"/>
          </w:tcPr>
          <w:p w14:paraId="0E145E37" w14:textId="77777777" w:rsidR="008B66DC" w:rsidRPr="00A0286F" w:rsidRDefault="008B66DC" w:rsidP="008B66DC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Fr2-4</w:t>
            </w:r>
          </w:p>
          <w:p w14:paraId="1FD3F62C" w14:textId="600A2FEF" w:rsidR="008B66DC" w:rsidRPr="00A0286F" w:rsidRDefault="008B66DC" w:rsidP="008B66DC">
            <w:pPr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Chang-Sheng Chen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Industrial Technology Research Institute</w:t>
            </w:r>
          </w:p>
        </w:tc>
      </w:tr>
      <w:tr w:rsidR="008B66DC" w:rsidRPr="00A0286F" w14:paraId="352B9074" w14:textId="77777777" w:rsidTr="00BB2A8D">
        <w:trPr>
          <w:jc w:val="center"/>
        </w:trPr>
        <w:tc>
          <w:tcPr>
            <w:tcW w:w="1668" w:type="dxa"/>
            <w:shd w:val="clear" w:color="auto" w:fill="E2EFDA"/>
            <w:vAlign w:val="center"/>
          </w:tcPr>
          <w:p w14:paraId="54524E42" w14:textId="77777777" w:rsidR="008B66DC" w:rsidRPr="00A0286F" w:rsidRDefault="008B66DC" w:rsidP="00BC433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0286F">
              <w:rPr>
                <w:rFonts w:asciiTheme="majorHAnsi" w:hAnsiTheme="majorHAnsi" w:cstheme="majorHAnsi"/>
                <w:b/>
                <w:bCs/>
              </w:rPr>
              <w:t>1220–1330</w:t>
            </w:r>
          </w:p>
        </w:tc>
        <w:tc>
          <w:tcPr>
            <w:tcW w:w="12948" w:type="dxa"/>
            <w:gridSpan w:val="3"/>
            <w:shd w:val="clear" w:color="auto" w:fill="E2EFDA"/>
          </w:tcPr>
          <w:p w14:paraId="00721F68" w14:textId="19D49A57" w:rsidR="008B66DC" w:rsidRPr="00A0286F" w:rsidRDefault="008B66DC" w:rsidP="008B66DC">
            <w:pPr>
              <w:jc w:val="center"/>
              <w:rPr>
                <w:rFonts w:asciiTheme="majorHAnsi" w:eastAsia="新細明體" w:hAnsiTheme="majorHAnsi" w:cstheme="majorHAnsi"/>
                <w:b/>
                <w:bCs/>
                <w:lang w:eastAsia="zh-TW"/>
              </w:rPr>
            </w:pPr>
            <w:r w:rsidRPr="00A0286F">
              <w:rPr>
                <w:rFonts w:asciiTheme="majorHAnsi" w:hAnsiTheme="majorHAnsi" w:cstheme="majorHAnsi"/>
                <w:b/>
                <w:bCs/>
              </w:rPr>
              <w:t>Lunch</w:t>
            </w:r>
          </w:p>
        </w:tc>
      </w:tr>
      <w:tr w:rsidR="00BC433B" w:rsidRPr="00A0286F" w14:paraId="72F11EEA" w14:textId="77777777" w:rsidTr="00BB2A8D">
        <w:trPr>
          <w:jc w:val="center"/>
        </w:trPr>
        <w:tc>
          <w:tcPr>
            <w:tcW w:w="1668" w:type="dxa"/>
            <w:vMerge w:val="restart"/>
            <w:shd w:val="clear" w:color="auto" w:fill="CCC0D9" w:themeFill="accent4" w:themeFillTint="66"/>
            <w:vAlign w:val="center"/>
          </w:tcPr>
          <w:p w14:paraId="7AA0AA92" w14:textId="220DFB18" w:rsidR="00BC433B" w:rsidRPr="00A0286F" w:rsidRDefault="00BC433B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1330–1400</w:t>
            </w:r>
          </w:p>
        </w:tc>
        <w:tc>
          <w:tcPr>
            <w:tcW w:w="5640" w:type="dxa"/>
            <w:vMerge w:val="restart"/>
            <w:shd w:val="clear" w:color="auto" w:fill="CCC0D9" w:themeFill="accent4" w:themeFillTint="66"/>
            <w:vAlign w:val="center"/>
          </w:tcPr>
          <w:p w14:paraId="00BC9C81" w14:textId="219071ED" w:rsidR="00BC433B" w:rsidRPr="00A0286F" w:rsidRDefault="00BC433B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Poster Session</w:t>
            </w:r>
          </w:p>
        </w:tc>
        <w:tc>
          <w:tcPr>
            <w:tcW w:w="7308" w:type="dxa"/>
            <w:gridSpan w:val="2"/>
            <w:shd w:val="clear" w:color="auto" w:fill="FFF2CC"/>
          </w:tcPr>
          <w:p w14:paraId="1A896373" w14:textId="77777777" w:rsidR="00BC433B" w:rsidRPr="00A0286F" w:rsidRDefault="00BC433B" w:rsidP="00BC433B">
            <w:pPr>
              <w:jc w:val="center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eastAsia="新細明體" w:hAnsiTheme="majorHAnsi" w:cstheme="majorHAnsi"/>
                <w:b/>
                <w:bCs/>
                <w:lang w:eastAsia="zh-TW"/>
              </w:rPr>
              <w:t>THz Electronics &amp; Communications III</w:t>
            </w:r>
          </w:p>
          <w:p w14:paraId="6AF92443" w14:textId="23B901C1" w:rsidR="00BC433B" w:rsidRPr="00A0286F" w:rsidRDefault="00BC433B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eastAsia="新細明體" w:hAnsiTheme="majorHAnsi" w:cstheme="majorHAnsi"/>
                <w:lang w:eastAsia="zh-TW"/>
              </w:rPr>
              <w:t>Chair: Shang-Hua Yang</w:t>
            </w:r>
          </w:p>
        </w:tc>
      </w:tr>
      <w:tr w:rsidR="00BC433B" w:rsidRPr="00A0286F" w14:paraId="79F96965" w14:textId="77777777" w:rsidTr="00BB2A8D">
        <w:trPr>
          <w:jc w:val="center"/>
        </w:trPr>
        <w:tc>
          <w:tcPr>
            <w:tcW w:w="1668" w:type="dxa"/>
            <w:vMerge/>
            <w:shd w:val="clear" w:color="auto" w:fill="CCC0D9" w:themeFill="accent4" w:themeFillTint="66"/>
            <w:vAlign w:val="center"/>
          </w:tcPr>
          <w:p w14:paraId="63518A68" w14:textId="64801E0E" w:rsidR="00BC433B" w:rsidRPr="00A0286F" w:rsidRDefault="00BC433B" w:rsidP="00BC433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40" w:type="dxa"/>
            <w:vMerge/>
            <w:shd w:val="clear" w:color="auto" w:fill="CCC0D9" w:themeFill="accent4" w:themeFillTint="66"/>
            <w:vAlign w:val="center"/>
          </w:tcPr>
          <w:p w14:paraId="4A379C13" w14:textId="11AC7EFD" w:rsidR="00BC433B" w:rsidRPr="00A0286F" w:rsidRDefault="00BC433B" w:rsidP="00BC433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72" w:type="dxa"/>
            <w:shd w:val="clear" w:color="auto" w:fill="CCC0D9" w:themeFill="accent4" w:themeFillTint="66"/>
            <w:vAlign w:val="center"/>
          </w:tcPr>
          <w:p w14:paraId="6A640A86" w14:textId="54E7B68B" w:rsidR="00BC433B" w:rsidRPr="00A0286F" w:rsidRDefault="00BC433B" w:rsidP="00BC433B">
            <w:pPr>
              <w:jc w:val="center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1330–1400</w:t>
            </w:r>
          </w:p>
        </w:tc>
        <w:tc>
          <w:tcPr>
            <w:tcW w:w="5436" w:type="dxa"/>
            <w:shd w:val="clear" w:color="auto" w:fill="CCC0D9" w:themeFill="accent4" w:themeFillTint="66"/>
          </w:tcPr>
          <w:p w14:paraId="2D682466" w14:textId="77777777" w:rsidR="00BC433B" w:rsidRPr="00A0286F" w:rsidRDefault="00BC433B" w:rsidP="00BC433B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Fr3-1</w:t>
            </w:r>
          </w:p>
          <w:p w14:paraId="526B506E" w14:textId="3FDB9AE9" w:rsidR="00BC433B" w:rsidRPr="00A0286F" w:rsidRDefault="00BC433B" w:rsidP="00BC433B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Chia-Yi Yeh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National Taiwan University</w:t>
            </w:r>
          </w:p>
        </w:tc>
      </w:tr>
      <w:tr w:rsidR="00BC433B" w:rsidRPr="00A0286F" w14:paraId="65CFC6ED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76DF0EEE" w14:textId="6B2ED569" w:rsidR="00BC433B" w:rsidRPr="00A0286F" w:rsidRDefault="00BC433B" w:rsidP="00BC433B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1400–</w:t>
            </w:r>
            <w:r w:rsidRPr="00A0286F">
              <w:rPr>
                <w:rFonts w:asciiTheme="majorHAnsi" w:hAnsiTheme="majorHAnsi" w:cstheme="majorHAnsi"/>
                <w:shd w:val="clear" w:color="auto" w:fill="CCC0D9" w:themeFill="accent4" w:themeFillTint="66"/>
              </w:rPr>
              <w:t>1430</w:t>
            </w:r>
          </w:p>
        </w:tc>
        <w:tc>
          <w:tcPr>
            <w:tcW w:w="5640" w:type="dxa"/>
            <w:vMerge/>
            <w:shd w:val="clear" w:color="auto" w:fill="CCC0D9" w:themeFill="accent4" w:themeFillTint="66"/>
          </w:tcPr>
          <w:p w14:paraId="664CA623" w14:textId="77777777" w:rsidR="00BC433B" w:rsidRPr="00A0286F" w:rsidRDefault="00BC433B" w:rsidP="00BC433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2" w:type="dxa"/>
            <w:shd w:val="clear" w:color="auto" w:fill="CCC0D9" w:themeFill="accent4" w:themeFillTint="66"/>
            <w:vAlign w:val="center"/>
          </w:tcPr>
          <w:p w14:paraId="330AF0B6" w14:textId="5852D926" w:rsidR="00BC433B" w:rsidRPr="00A0286F" w:rsidRDefault="00BC433B" w:rsidP="00BC433B">
            <w:pPr>
              <w:jc w:val="center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1400–1430</w:t>
            </w:r>
          </w:p>
        </w:tc>
        <w:tc>
          <w:tcPr>
            <w:tcW w:w="5436" w:type="dxa"/>
            <w:shd w:val="clear" w:color="auto" w:fill="CCC0D9" w:themeFill="accent4" w:themeFillTint="66"/>
          </w:tcPr>
          <w:p w14:paraId="057B7000" w14:textId="77777777" w:rsidR="00BC433B" w:rsidRPr="00A0286F" w:rsidRDefault="00BC433B" w:rsidP="00BC433B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Fr3-2</w:t>
            </w:r>
          </w:p>
          <w:p w14:paraId="258E794A" w14:textId="4B914E52" w:rsidR="00BC433B" w:rsidRPr="00A0286F" w:rsidRDefault="00BC433B" w:rsidP="00BC433B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Yu-Hsiang Cheng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National Taiwan University</w:t>
            </w:r>
          </w:p>
        </w:tc>
      </w:tr>
      <w:tr w:rsidR="00FF71D4" w:rsidRPr="00A0286F" w14:paraId="13F8AE73" w14:textId="77777777" w:rsidTr="00700E29">
        <w:trPr>
          <w:jc w:val="center"/>
        </w:trPr>
        <w:tc>
          <w:tcPr>
            <w:tcW w:w="7308" w:type="dxa"/>
            <w:gridSpan w:val="2"/>
            <w:shd w:val="clear" w:color="auto" w:fill="FFF2CC"/>
          </w:tcPr>
          <w:p w14:paraId="19C309FC" w14:textId="77777777" w:rsidR="00FF71D4" w:rsidRPr="00A0286F" w:rsidRDefault="00FF71D4" w:rsidP="004E7CB3">
            <w:pPr>
              <w:jc w:val="center"/>
              <w:rPr>
                <w:rFonts w:asciiTheme="majorHAnsi" w:eastAsia="新細明體" w:hAnsiTheme="majorHAnsi" w:cstheme="majorHAnsi"/>
                <w:b/>
                <w:bCs/>
                <w:lang w:eastAsia="zh-TW"/>
              </w:rPr>
            </w:pPr>
            <w:r w:rsidRPr="00A0286F">
              <w:rPr>
                <w:rFonts w:asciiTheme="majorHAnsi" w:hAnsiTheme="majorHAnsi" w:cstheme="majorHAnsi"/>
                <w:b/>
                <w:bCs/>
              </w:rPr>
              <w:t>Vacuum Electronics</w:t>
            </w:r>
          </w:p>
          <w:p w14:paraId="3FBDEEF0" w14:textId="472F2C47" w:rsidR="00FF71D4" w:rsidRPr="00A0286F" w:rsidRDefault="00FF71D4" w:rsidP="004E7CB3">
            <w:pPr>
              <w:jc w:val="center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eastAsia="新細明體" w:hAnsiTheme="majorHAnsi" w:cstheme="majorHAnsi"/>
                <w:lang w:eastAsia="zh-TW"/>
              </w:rPr>
              <w:t xml:space="preserve">Chair: </w:t>
            </w:r>
            <w:r w:rsidRPr="00A0286F">
              <w:rPr>
                <w:rFonts w:asciiTheme="majorHAnsi" w:hAnsiTheme="majorHAnsi" w:cstheme="majorHAnsi"/>
              </w:rPr>
              <w:t>Chih-Wei Luo</w:t>
            </w:r>
          </w:p>
        </w:tc>
        <w:tc>
          <w:tcPr>
            <w:tcW w:w="1872" w:type="dxa"/>
            <w:vMerge w:val="restart"/>
            <w:shd w:val="clear" w:color="auto" w:fill="CCC0D9" w:themeFill="accent4" w:themeFillTint="66"/>
            <w:vAlign w:val="center"/>
          </w:tcPr>
          <w:p w14:paraId="2EC11F6A" w14:textId="6DBAD239" w:rsidR="00FF71D4" w:rsidRPr="00A0286F" w:rsidRDefault="00FF71D4" w:rsidP="00FF71D4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1430–1500</w:t>
            </w:r>
          </w:p>
        </w:tc>
        <w:tc>
          <w:tcPr>
            <w:tcW w:w="5436" w:type="dxa"/>
            <w:vMerge w:val="restart"/>
            <w:shd w:val="clear" w:color="auto" w:fill="CCC0D9" w:themeFill="accent4" w:themeFillTint="66"/>
            <w:vAlign w:val="center"/>
          </w:tcPr>
          <w:p w14:paraId="7A848D5B" w14:textId="77777777" w:rsidR="00FF71D4" w:rsidRPr="00A0286F" w:rsidRDefault="00FF71D4" w:rsidP="00FF71D4">
            <w:pPr>
              <w:jc w:val="both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Fr3-3</w:t>
            </w:r>
          </w:p>
          <w:p w14:paraId="74845689" w14:textId="44150A1C" w:rsidR="00FF71D4" w:rsidRPr="00A0286F" w:rsidRDefault="00FF71D4" w:rsidP="00FF71D4">
            <w:pPr>
              <w:jc w:val="both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Rayko Ivanov Stantchev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National Sun Yat-sen University</w:t>
            </w:r>
          </w:p>
        </w:tc>
      </w:tr>
      <w:tr w:rsidR="00FF71D4" w:rsidRPr="00A0286F" w14:paraId="7FBDFB6C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704D34EF" w14:textId="77777777" w:rsidR="00FF71D4" w:rsidRPr="00A0286F" w:rsidRDefault="00FF71D4" w:rsidP="00FF71D4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1430–1500</w:t>
            </w:r>
          </w:p>
        </w:tc>
        <w:tc>
          <w:tcPr>
            <w:tcW w:w="5640" w:type="dxa"/>
            <w:shd w:val="clear" w:color="auto" w:fill="CCC0D9" w:themeFill="accent4" w:themeFillTint="66"/>
          </w:tcPr>
          <w:p w14:paraId="1919304F" w14:textId="77777777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Th3-1</w:t>
            </w:r>
          </w:p>
          <w:p w14:paraId="5CF4AEBB" w14:textId="6814DE5F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Tsun-Hsu Chang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National Tsing Hua University</w:t>
            </w:r>
          </w:p>
        </w:tc>
        <w:tc>
          <w:tcPr>
            <w:tcW w:w="1872" w:type="dxa"/>
            <w:vMerge/>
            <w:shd w:val="clear" w:color="auto" w:fill="CCC0D9" w:themeFill="accent4" w:themeFillTint="66"/>
            <w:vAlign w:val="center"/>
          </w:tcPr>
          <w:p w14:paraId="089A8EBF" w14:textId="22F6B642" w:rsidR="00FF71D4" w:rsidRPr="00A0286F" w:rsidRDefault="00FF71D4" w:rsidP="00FF71D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vMerge/>
            <w:shd w:val="clear" w:color="auto" w:fill="CCC0D9" w:themeFill="accent4" w:themeFillTint="66"/>
          </w:tcPr>
          <w:p w14:paraId="31E02A27" w14:textId="30A9BB56" w:rsidR="00FF71D4" w:rsidRPr="00A0286F" w:rsidRDefault="00FF71D4" w:rsidP="00FF71D4">
            <w:pPr>
              <w:rPr>
                <w:rFonts w:asciiTheme="majorHAnsi" w:hAnsiTheme="majorHAnsi" w:cstheme="majorHAnsi"/>
              </w:rPr>
            </w:pPr>
          </w:p>
        </w:tc>
      </w:tr>
      <w:tr w:rsidR="00FF71D4" w:rsidRPr="00A0286F" w14:paraId="074F05C1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36635599" w14:textId="77777777" w:rsidR="00FF71D4" w:rsidRPr="00A0286F" w:rsidRDefault="00FF71D4" w:rsidP="00FF71D4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1500–1530</w:t>
            </w:r>
          </w:p>
        </w:tc>
        <w:tc>
          <w:tcPr>
            <w:tcW w:w="5640" w:type="dxa"/>
            <w:shd w:val="clear" w:color="auto" w:fill="CCC0D9" w:themeFill="accent4" w:themeFillTint="66"/>
          </w:tcPr>
          <w:p w14:paraId="36626E7E" w14:textId="77777777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Th3-2</w:t>
            </w:r>
          </w:p>
          <w:p w14:paraId="1BD78FB2" w14:textId="0F70FCA1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Ming-Chang Chou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National Synchrotron Radiation Research Center</w:t>
            </w:r>
          </w:p>
        </w:tc>
        <w:tc>
          <w:tcPr>
            <w:tcW w:w="1872" w:type="dxa"/>
            <w:shd w:val="clear" w:color="auto" w:fill="CCC0D9" w:themeFill="accent4" w:themeFillTint="66"/>
            <w:vAlign w:val="center"/>
          </w:tcPr>
          <w:p w14:paraId="67479214" w14:textId="7223D7BC" w:rsidR="00FF71D4" w:rsidRPr="00A0286F" w:rsidRDefault="00FF71D4" w:rsidP="00FF71D4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1500–1510</w:t>
            </w:r>
          </w:p>
        </w:tc>
        <w:tc>
          <w:tcPr>
            <w:tcW w:w="5436" w:type="dxa"/>
            <w:shd w:val="clear" w:color="auto" w:fill="CCC0D9" w:themeFill="accent4" w:themeFillTint="66"/>
            <w:vAlign w:val="center"/>
          </w:tcPr>
          <w:p w14:paraId="37B07396" w14:textId="64184DDE" w:rsidR="00FF71D4" w:rsidRPr="00A0286F" w:rsidRDefault="00FF71D4" w:rsidP="00FF71D4">
            <w:pPr>
              <w:jc w:val="both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Closing Remarks</w:t>
            </w:r>
          </w:p>
        </w:tc>
      </w:tr>
      <w:tr w:rsidR="00FF71D4" w:rsidRPr="00A0286F" w14:paraId="041967C5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7D9C82CB" w14:textId="77777777" w:rsidR="00FF71D4" w:rsidRPr="00A0286F" w:rsidRDefault="00FF71D4" w:rsidP="00FF71D4">
            <w:pPr>
              <w:jc w:val="center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lastRenderedPageBreak/>
              <w:t>1530–1600</w:t>
            </w:r>
          </w:p>
        </w:tc>
        <w:tc>
          <w:tcPr>
            <w:tcW w:w="5640" w:type="dxa"/>
            <w:shd w:val="clear" w:color="auto" w:fill="CCC0D9" w:themeFill="accent4" w:themeFillTint="66"/>
          </w:tcPr>
          <w:p w14:paraId="1A9874F8" w14:textId="77777777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Th3-3</w:t>
            </w:r>
          </w:p>
          <w:p w14:paraId="7852A319" w14:textId="35F04E20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Hsin-Yu Yao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National Chung Cheng University</w:t>
            </w:r>
          </w:p>
        </w:tc>
        <w:tc>
          <w:tcPr>
            <w:tcW w:w="1872" w:type="dxa"/>
            <w:vMerge w:val="restart"/>
            <w:shd w:val="clear" w:color="auto" w:fill="E2EFDA"/>
            <w:vAlign w:val="center"/>
          </w:tcPr>
          <w:p w14:paraId="45D8EA04" w14:textId="626A3762" w:rsidR="00FF71D4" w:rsidRPr="00A0286F" w:rsidRDefault="00FF71D4" w:rsidP="00FF71D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0286F">
              <w:rPr>
                <w:rFonts w:asciiTheme="majorHAnsi" w:hAnsiTheme="majorHAnsi" w:cstheme="majorHAnsi"/>
                <w:b/>
                <w:bCs/>
              </w:rPr>
              <w:t>1510–2030</w:t>
            </w:r>
          </w:p>
        </w:tc>
        <w:tc>
          <w:tcPr>
            <w:tcW w:w="5436" w:type="dxa"/>
            <w:vMerge w:val="restart"/>
            <w:shd w:val="clear" w:color="auto" w:fill="E2EFDA"/>
            <w:vAlign w:val="center"/>
          </w:tcPr>
          <w:p w14:paraId="1547F1F1" w14:textId="1FDB9334" w:rsidR="00FF71D4" w:rsidRPr="00A0286F" w:rsidRDefault="00FF71D4" w:rsidP="00FF71D4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A0286F">
              <w:rPr>
                <w:rFonts w:asciiTheme="majorHAnsi" w:hAnsiTheme="majorHAnsi" w:cstheme="majorHAnsi"/>
                <w:b/>
                <w:bCs/>
              </w:rPr>
              <w:t>Conference Excursion</w:t>
            </w:r>
          </w:p>
        </w:tc>
      </w:tr>
      <w:tr w:rsidR="00FF71D4" w:rsidRPr="00A0286F" w14:paraId="77EC4161" w14:textId="77777777" w:rsidTr="00BB2A8D">
        <w:trPr>
          <w:jc w:val="center"/>
        </w:trPr>
        <w:tc>
          <w:tcPr>
            <w:tcW w:w="1668" w:type="dxa"/>
            <w:shd w:val="clear" w:color="auto" w:fill="E2EFDA"/>
            <w:vAlign w:val="center"/>
          </w:tcPr>
          <w:p w14:paraId="5DAEB367" w14:textId="77777777" w:rsidR="00FF71D4" w:rsidRPr="00A0286F" w:rsidRDefault="00FF71D4" w:rsidP="004E7CB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0286F">
              <w:rPr>
                <w:rFonts w:asciiTheme="majorHAnsi" w:hAnsiTheme="majorHAnsi" w:cstheme="majorHAnsi"/>
                <w:b/>
                <w:bCs/>
              </w:rPr>
              <w:t>1600–1620</w:t>
            </w:r>
          </w:p>
        </w:tc>
        <w:tc>
          <w:tcPr>
            <w:tcW w:w="5640" w:type="dxa"/>
            <w:shd w:val="clear" w:color="auto" w:fill="E2EFDA"/>
          </w:tcPr>
          <w:p w14:paraId="442073FA" w14:textId="77777777" w:rsidR="00FF71D4" w:rsidRPr="00A0286F" w:rsidRDefault="00FF71D4" w:rsidP="004E7CB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0286F">
              <w:rPr>
                <w:rFonts w:asciiTheme="majorHAnsi" w:hAnsiTheme="majorHAnsi" w:cstheme="majorHAnsi"/>
                <w:b/>
                <w:bCs/>
              </w:rPr>
              <w:t>Coffee Break</w:t>
            </w:r>
          </w:p>
        </w:tc>
        <w:tc>
          <w:tcPr>
            <w:tcW w:w="1872" w:type="dxa"/>
            <w:vMerge/>
            <w:shd w:val="clear" w:color="auto" w:fill="E2EFDA"/>
          </w:tcPr>
          <w:p w14:paraId="3BA260FA" w14:textId="77777777" w:rsidR="00FF71D4" w:rsidRPr="00A0286F" w:rsidRDefault="00FF71D4" w:rsidP="004E7CB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vMerge/>
            <w:shd w:val="clear" w:color="auto" w:fill="E2EFDA"/>
          </w:tcPr>
          <w:p w14:paraId="3CA74419" w14:textId="78ADB915" w:rsidR="00FF71D4" w:rsidRPr="00A0286F" w:rsidRDefault="00FF71D4" w:rsidP="004E7CB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FF71D4" w:rsidRPr="00A0286F" w14:paraId="53C9ED7D" w14:textId="77777777" w:rsidTr="00FF71D4">
        <w:trPr>
          <w:jc w:val="center"/>
        </w:trPr>
        <w:tc>
          <w:tcPr>
            <w:tcW w:w="7308" w:type="dxa"/>
            <w:gridSpan w:val="2"/>
            <w:shd w:val="clear" w:color="auto" w:fill="FFF2CC"/>
          </w:tcPr>
          <w:p w14:paraId="0111936B" w14:textId="77777777" w:rsidR="00FF71D4" w:rsidRPr="00A0286F" w:rsidRDefault="00FF71D4" w:rsidP="004E7CB3">
            <w:pPr>
              <w:jc w:val="center"/>
              <w:rPr>
                <w:rFonts w:asciiTheme="majorHAnsi" w:eastAsia="新細明體" w:hAnsiTheme="majorHAnsi" w:cstheme="majorHAnsi"/>
                <w:b/>
                <w:bCs/>
                <w:lang w:eastAsia="zh-TW"/>
              </w:rPr>
            </w:pPr>
            <w:r w:rsidRPr="00A0286F">
              <w:rPr>
                <w:rFonts w:asciiTheme="majorHAnsi" w:eastAsia="新細明體" w:hAnsiTheme="majorHAnsi" w:cstheme="majorHAnsi"/>
                <w:b/>
                <w:bCs/>
                <w:lang w:eastAsia="zh-TW"/>
              </w:rPr>
              <w:t>Phenomena</w:t>
            </w:r>
          </w:p>
          <w:p w14:paraId="4C18F6EB" w14:textId="1A5122AD" w:rsidR="00FF71D4" w:rsidRPr="00A0286F" w:rsidRDefault="00FF71D4" w:rsidP="004E7CB3">
            <w:pPr>
              <w:jc w:val="center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eastAsia="新細明體" w:hAnsiTheme="majorHAnsi" w:cstheme="majorHAnsi"/>
                <w:lang w:eastAsia="zh-TW"/>
              </w:rPr>
              <w:t>Chair: Hsin-Yu Yao</w:t>
            </w:r>
          </w:p>
        </w:tc>
        <w:tc>
          <w:tcPr>
            <w:tcW w:w="1872" w:type="dxa"/>
            <w:vMerge/>
            <w:shd w:val="clear" w:color="auto" w:fill="E2EFDA"/>
          </w:tcPr>
          <w:p w14:paraId="5B58CC98" w14:textId="77777777" w:rsidR="00FF71D4" w:rsidRPr="00A0286F" w:rsidRDefault="00FF71D4" w:rsidP="004E7CB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vMerge/>
            <w:shd w:val="clear" w:color="auto" w:fill="E2EFDA"/>
          </w:tcPr>
          <w:p w14:paraId="74C5653E" w14:textId="390DA3FC" w:rsidR="00FF71D4" w:rsidRPr="00A0286F" w:rsidRDefault="00FF71D4" w:rsidP="004E7CB3">
            <w:pPr>
              <w:rPr>
                <w:rFonts w:asciiTheme="majorHAnsi" w:hAnsiTheme="majorHAnsi" w:cstheme="majorHAnsi"/>
              </w:rPr>
            </w:pPr>
          </w:p>
        </w:tc>
      </w:tr>
      <w:tr w:rsidR="00FF71D4" w:rsidRPr="00A0286F" w14:paraId="51F0808B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3D951F53" w14:textId="77777777" w:rsidR="00FF71D4" w:rsidRPr="00A0286F" w:rsidRDefault="00FF71D4" w:rsidP="00700E29">
            <w:pPr>
              <w:jc w:val="both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1620–1650</w:t>
            </w:r>
          </w:p>
        </w:tc>
        <w:tc>
          <w:tcPr>
            <w:tcW w:w="5640" w:type="dxa"/>
            <w:shd w:val="clear" w:color="auto" w:fill="CCC0D9" w:themeFill="accent4" w:themeFillTint="66"/>
            <w:vAlign w:val="center"/>
          </w:tcPr>
          <w:p w14:paraId="579BCF49" w14:textId="77777777" w:rsidR="00FF71D4" w:rsidRPr="00A0286F" w:rsidRDefault="00FF71D4" w:rsidP="00700E29">
            <w:pPr>
              <w:jc w:val="both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Th4-1</w:t>
            </w:r>
          </w:p>
          <w:p w14:paraId="1CDF7B03" w14:textId="4A3D3CCF" w:rsidR="00FF71D4" w:rsidRPr="00A0286F" w:rsidRDefault="00FF71D4" w:rsidP="00700E29">
            <w:pPr>
              <w:jc w:val="both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Chih-Wei Luo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National Yang Ming Chiao Tung University</w:t>
            </w:r>
          </w:p>
        </w:tc>
        <w:tc>
          <w:tcPr>
            <w:tcW w:w="1872" w:type="dxa"/>
            <w:vMerge/>
            <w:shd w:val="clear" w:color="auto" w:fill="E2EFDA"/>
          </w:tcPr>
          <w:p w14:paraId="78463935" w14:textId="77777777" w:rsidR="00FF71D4" w:rsidRPr="00A0286F" w:rsidRDefault="00FF71D4" w:rsidP="004E7CB3">
            <w:pPr>
              <w:rPr>
                <w:rFonts w:asciiTheme="majorHAnsi" w:eastAsia="新細明體" w:hAnsiTheme="majorHAnsi" w:cstheme="majorHAnsi"/>
                <w:lang w:eastAsia="zh-TW"/>
              </w:rPr>
            </w:pPr>
          </w:p>
        </w:tc>
        <w:tc>
          <w:tcPr>
            <w:tcW w:w="5436" w:type="dxa"/>
            <w:vMerge/>
            <w:shd w:val="clear" w:color="auto" w:fill="E2EFDA"/>
          </w:tcPr>
          <w:p w14:paraId="447EDCFC" w14:textId="4F2FCFDD" w:rsidR="00FF71D4" w:rsidRPr="00A0286F" w:rsidRDefault="00FF71D4" w:rsidP="004E7CB3">
            <w:pPr>
              <w:rPr>
                <w:rFonts w:asciiTheme="majorHAnsi" w:eastAsia="新細明體" w:hAnsiTheme="majorHAnsi" w:cstheme="majorHAnsi"/>
                <w:lang w:eastAsia="zh-TW"/>
              </w:rPr>
            </w:pPr>
          </w:p>
        </w:tc>
      </w:tr>
      <w:tr w:rsidR="00FF71D4" w:rsidRPr="00A0286F" w14:paraId="64B807FB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12803BE6" w14:textId="77777777" w:rsidR="00FF71D4" w:rsidRPr="00A0286F" w:rsidRDefault="00FF71D4" w:rsidP="00700E29">
            <w:pPr>
              <w:jc w:val="both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1650–1720</w:t>
            </w:r>
          </w:p>
        </w:tc>
        <w:tc>
          <w:tcPr>
            <w:tcW w:w="5640" w:type="dxa"/>
            <w:shd w:val="clear" w:color="auto" w:fill="CCC0D9" w:themeFill="accent4" w:themeFillTint="66"/>
            <w:vAlign w:val="center"/>
          </w:tcPr>
          <w:p w14:paraId="3E0B96C6" w14:textId="77777777" w:rsidR="00FF71D4" w:rsidRPr="00A0286F" w:rsidRDefault="00FF71D4" w:rsidP="00700E29">
            <w:pPr>
              <w:jc w:val="both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Th4-2</w:t>
            </w:r>
          </w:p>
          <w:p w14:paraId="5C86B381" w14:textId="1FD8A57B" w:rsidR="00FF71D4" w:rsidRPr="00A0286F" w:rsidRDefault="00FF71D4" w:rsidP="00700E29">
            <w:pPr>
              <w:jc w:val="both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Hironori Ito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University of Yamanashi</w:t>
            </w:r>
          </w:p>
        </w:tc>
        <w:tc>
          <w:tcPr>
            <w:tcW w:w="1872" w:type="dxa"/>
            <w:vMerge/>
            <w:shd w:val="clear" w:color="auto" w:fill="E2EFDA"/>
          </w:tcPr>
          <w:p w14:paraId="0CC72700" w14:textId="77777777" w:rsidR="00FF71D4" w:rsidRPr="00A0286F" w:rsidRDefault="00FF71D4" w:rsidP="004E7CB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vMerge/>
            <w:shd w:val="clear" w:color="auto" w:fill="E2EFDA"/>
          </w:tcPr>
          <w:p w14:paraId="36A14A9C" w14:textId="23F86F00" w:rsidR="00FF71D4" w:rsidRPr="00A0286F" w:rsidRDefault="00FF71D4" w:rsidP="004E7CB3">
            <w:pPr>
              <w:rPr>
                <w:rFonts w:asciiTheme="majorHAnsi" w:hAnsiTheme="majorHAnsi" w:cstheme="majorHAnsi"/>
              </w:rPr>
            </w:pPr>
          </w:p>
        </w:tc>
      </w:tr>
      <w:tr w:rsidR="00FF71D4" w:rsidRPr="00A0286F" w14:paraId="6FD5DE8B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031702B3" w14:textId="77777777" w:rsidR="00FF71D4" w:rsidRPr="00A0286F" w:rsidRDefault="00FF71D4" w:rsidP="00700E29">
            <w:pPr>
              <w:jc w:val="both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1720–1750</w:t>
            </w:r>
          </w:p>
        </w:tc>
        <w:tc>
          <w:tcPr>
            <w:tcW w:w="5640" w:type="dxa"/>
            <w:shd w:val="clear" w:color="auto" w:fill="CCC0D9" w:themeFill="accent4" w:themeFillTint="66"/>
            <w:vAlign w:val="center"/>
          </w:tcPr>
          <w:p w14:paraId="77C15347" w14:textId="77777777" w:rsidR="00FF71D4" w:rsidRPr="00A0286F" w:rsidRDefault="00FF71D4" w:rsidP="00700E29">
            <w:pPr>
              <w:jc w:val="both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Th4-3</w:t>
            </w:r>
          </w:p>
          <w:p w14:paraId="24CF50B1" w14:textId="1260B10C" w:rsidR="00FF71D4" w:rsidRPr="00A0286F" w:rsidRDefault="00FF71D4" w:rsidP="00700E29">
            <w:pPr>
              <w:jc w:val="both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Chien-Ming Tu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National Yang Ming Chiao Tung University</w:t>
            </w:r>
          </w:p>
        </w:tc>
        <w:tc>
          <w:tcPr>
            <w:tcW w:w="1872" w:type="dxa"/>
            <w:vMerge/>
            <w:shd w:val="clear" w:color="auto" w:fill="E2EFDA"/>
            <w:vAlign w:val="center"/>
          </w:tcPr>
          <w:p w14:paraId="6C2D613E" w14:textId="4B75730F" w:rsidR="00FF71D4" w:rsidRPr="00A0286F" w:rsidRDefault="00FF71D4" w:rsidP="00FF71D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vMerge/>
            <w:shd w:val="clear" w:color="auto" w:fill="E2EFDA"/>
            <w:vAlign w:val="center"/>
          </w:tcPr>
          <w:p w14:paraId="40574A9A" w14:textId="45AAFB3F" w:rsidR="00FF71D4" w:rsidRPr="00A0286F" w:rsidRDefault="00FF71D4" w:rsidP="00FF71D4">
            <w:pPr>
              <w:rPr>
                <w:rFonts w:asciiTheme="majorHAnsi" w:hAnsiTheme="majorHAnsi" w:cstheme="majorHAnsi"/>
              </w:rPr>
            </w:pPr>
          </w:p>
        </w:tc>
      </w:tr>
      <w:tr w:rsidR="00FF71D4" w:rsidRPr="00A0286F" w14:paraId="322BD640" w14:textId="77777777" w:rsidTr="00BB2A8D">
        <w:trPr>
          <w:jc w:val="center"/>
        </w:trPr>
        <w:tc>
          <w:tcPr>
            <w:tcW w:w="1668" w:type="dxa"/>
            <w:shd w:val="clear" w:color="auto" w:fill="CCC0D9" w:themeFill="accent4" w:themeFillTint="66"/>
            <w:vAlign w:val="center"/>
          </w:tcPr>
          <w:p w14:paraId="7AC76A36" w14:textId="77777777" w:rsidR="00FF71D4" w:rsidRPr="00A0286F" w:rsidRDefault="00FF71D4" w:rsidP="00700E29">
            <w:pPr>
              <w:jc w:val="both"/>
              <w:rPr>
                <w:rFonts w:asciiTheme="majorHAnsi" w:hAnsiTheme="majorHAnsi" w:cstheme="majorHAnsi"/>
              </w:rPr>
            </w:pPr>
            <w:r w:rsidRPr="00A0286F">
              <w:rPr>
                <w:rFonts w:asciiTheme="majorHAnsi" w:hAnsiTheme="majorHAnsi" w:cstheme="majorHAnsi"/>
              </w:rPr>
              <w:t>1750–1820</w:t>
            </w:r>
          </w:p>
        </w:tc>
        <w:tc>
          <w:tcPr>
            <w:tcW w:w="5640" w:type="dxa"/>
            <w:shd w:val="clear" w:color="auto" w:fill="CCC0D9" w:themeFill="accent4" w:themeFillTint="66"/>
            <w:vAlign w:val="center"/>
          </w:tcPr>
          <w:p w14:paraId="2411FEB1" w14:textId="77777777" w:rsidR="00FF71D4" w:rsidRPr="00A0286F" w:rsidRDefault="00FF71D4" w:rsidP="00700E29">
            <w:pPr>
              <w:jc w:val="both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Th4-4</w:t>
            </w:r>
          </w:p>
          <w:p w14:paraId="4F42933A" w14:textId="34CDFE9C" w:rsidR="00FF71D4" w:rsidRPr="00A0286F" w:rsidRDefault="00FF71D4" w:rsidP="00700E29">
            <w:pPr>
              <w:jc w:val="both"/>
              <w:rPr>
                <w:rFonts w:asciiTheme="majorHAnsi" w:eastAsia="新細明體" w:hAnsiTheme="majorHAnsi" w:cstheme="majorHAnsi"/>
                <w:lang w:eastAsia="zh-TW"/>
              </w:rPr>
            </w:pPr>
            <w:r w:rsidRPr="00A0286F">
              <w:rPr>
                <w:rFonts w:asciiTheme="majorHAnsi" w:hAnsiTheme="majorHAnsi" w:cstheme="majorHAnsi"/>
              </w:rPr>
              <w:t>Sheng-Kwang Hwang</w:t>
            </w:r>
            <w:r w:rsidR="00A0286F" w:rsidRPr="00A0286F">
              <w:rPr>
                <w:rFonts w:asciiTheme="majorHAnsi" w:eastAsia="新細明體" w:hAnsiTheme="majorHAnsi" w:cstheme="majorHAnsi"/>
                <w:lang w:eastAsia="zh-TW"/>
              </w:rPr>
              <w:t>/</w:t>
            </w:r>
            <w:r w:rsidR="00A0286F" w:rsidRPr="00A0286F">
              <w:rPr>
                <w:rFonts w:asciiTheme="majorHAnsi" w:hAnsiTheme="majorHAnsi" w:cstheme="majorHAnsi"/>
              </w:rPr>
              <w:t xml:space="preserve"> </w:t>
            </w:r>
            <w:r w:rsidR="00A0286F" w:rsidRPr="00A0286F">
              <w:rPr>
                <w:rFonts w:asciiTheme="majorHAnsi" w:hAnsiTheme="majorHAnsi" w:cstheme="majorHAnsi"/>
              </w:rPr>
              <w:t>National Cheng Kung University</w:t>
            </w:r>
          </w:p>
        </w:tc>
        <w:tc>
          <w:tcPr>
            <w:tcW w:w="1872" w:type="dxa"/>
            <w:vMerge/>
            <w:shd w:val="clear" w:color="auto" w:fill="E2EFDA"/>
            <w:vAlign w:val="center"/>
          </w:tcPr>
          <w:p w14:paraId="76CEC2AD" w14:textId="77777777" w:rsidR="00FF71D4" w:rsidRPr="00A0286F" w:rsidRDefault="00FF71D4" w:rsidP="00FF71D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vMerge/>
            <w:shd w:val="clear" w:color="auto" w:fill="E2EFDA"/>
            <w:vAlign w:val="center"/>
          </w:tcPr>
          <w:p w14:paraId="4816EA6B" w14:textId="256D8D34" w:rsidR="00FF71D4" w:rsidRPr="00A0286F" w:rsidRDefault="00FF71D4" w:rsidP="00FF71D4">
            <w:pPr>
              <w:rPr>
                <w:rFonts w:asciiTheme="majorHAnsi" w:hAnsiTheme="majorHAnsi" w:cstheme="majorHAnsi"/>
              </w:rPr>
            </w:pPr>
          </w:p>
        </w:tc>
      </w:tr>
      <w:tr w:rsidR="00FF71D4" w:rsidRPr="00A0286F" w14:paraId="41ACE311" w14:textId="77777777" w:rsidTr="00BB2A8D">
        <w:trPr>
          <w:jc w:val="center"/>
        </w:trPr>
        <w:tc>
          <w:tcPr>
            <w:tcW w:w="1668" w:type="dxa"/>
            <w:shd w:val="clear" w:color="auto" w:fill="E2EFDA"/>
          </w:tcPr>
          <w:p w14:paraId="56C724BF" w14:textId="77777777" w:rsidR="00FF71D4" w:rsidRPr="00A0286F" w:rsidRDefault="00FF71D4" w:rsidP="00FF71D4">
            <w:pPr>
              <w:rPr>
                <w:rFonts w:asciiTheme="majorHAnsi" w:hAnsiTheme="majorHAnsi" w:cstheme="majorHAnsi"/>
                <w:b/>
                <w:bCs/>
              </w:rPr>
            </w:pPr>
            <w:r w:rsidRPr="00A0286F">
              <w:rPr>
                <w:rFonts w:asciiTheme="majorHAnsi" w:hAnsiTheme="majorHAnsi" w:cstheme="majorHAnsi"/>
                <w:b/>
                <w:bCs/>
              </w:rPr>
              <w:t>1820–2030</w:t>
            </w:r>
          </w:p>
        </w:tc>
        <w:tc>
          <w:tcPr>
            <w:tcW w:w="5640" w:type="dxa"/>
            <w:shd w:val="clear" w:color="auto" w:fill="E2EFDA"/>
          </w:tcPr>
          <w:p w14:paraId="30D9A8E0" w14:textId="7568B524" w:rsidR="00FF71D4" w:rsidRPr="00A0286F" w:rsidRDefault="00FF71D4" w:rsidP="00FF71D4">
            <w:pPr>
              <w:rPr>
                <w:rFonts w:asciiTheme="majorHAnsi" w:hAnsiTheme="majorHAnsi" w:cstheme="majorHAnsi"/>
                <w:b/>
                <w:bCs/>
              </w:rPr>
            </w:pPr>
            <w:r w:rsidRPr="00A0286F">
              <w:rPr>
                <w:rFonts w:asciiTheme="majorHAnsi" w:hAnsiTheme="majorHAnsi" w:cstheme="majorHAnsi"/>
                <w:b/>
                <w:bCs/>
              </w:rPr>
              <w:t>Conference Banquet</w:t>
            </w:r>
          </w:p>
        </w:tc>
        <w:tc>
          <w:tcPr>
            <w:tcW w:w="1872" w:type="dxa"/>
            <w:vMerge/>
            <w:shd w:val="clear" w:color="auto" w:fill="E2EFDA"/>
          </w:tcPr>
          <w:p w14:paraId="17D6C5C3" w14:textId="77777777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</w:p>
        </w:tc>
        <w:tc>
          <w:tcPr>
            <w:tcW w:w="5436" w:type="dxa"/>
            <w:vMerge/>
            <w:shd w:val="clear" w:color="auto" w:fill="E2EFDA"/>
          </w:tcPr>
          <w:p w14:paraId="29306C06" w14:textId="600AC28F" w:rsidR="00FF71D4" w:rsidRPr="00A0286F" w:rsidRDefault="00FF71D4" w:rsidP="00FF71D4">
            <w:pPr>
              <w:rPr>
                <w:rFonts w:asciiTheme="majorHAnsi" w:eastAsia="新細明體" w:hAnsiTheme="majorHAnsi" w:cstheme="majorHAnsi"/>
                <w:lang w:eastAsia="zh-TW"/>
              </w:rPr>
            </w:pPr>
          </w:p>
        </w:tc>
      </w:tr>
    </w:tbl>
    <w:p w14:paraId="2A4131EE" w14:textId="1AC8C30F" w:rsidR="008C74CD" w:rsidRDefault="008C74CD">
      <w:pPr>
        <w:rPr>
          <w:rFonts w:asciiTheme="majorHAnsi" w:eastAsia="新細明體" w:hAnsiTheme="majorHAnsi" w:cstheme="majorBidi"/>
          <w:b/>
          <w:bCs/>
          <w:color w:val="4F81BD" w:themeColor="accent1"/>
          <w:sz w:val="26"/>
          <w:szCs w:val="26"/>
          <w:lang w:eastAsia="zh-TW"/>
        </w:rPr>
      </w:pPr>
    </w:p>
    <w:sectPr w:rsidR="008C74CD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383515">
    <w:abstractNumId w:val="8"/>
  </w:num>
  <w:num w:numId="2" w16cid:durableId="747192397">
    <w:abstractNumId w:val="6"/>
  </w:num>
  <w:num w:numId="3" w16cid:durableId="1269848492">
    <w:abstractNumId w:val="5"/>
  </w:num>
  <w:num w:numId="4" w16cid:durableId="1413354835">
    <w:abstractNumId w:val="4"/>
  </w:num>
  <w:num w:numId="5" w16cid:durableId="1270895889">
    <w:abstractNumId w:val="7"/>
  </w:num>
  <w:num w:numId="6" w16cid:durableId="857040425">
    <w:abstractNumId w:val="3"/>
  </w:num>
  <w:num w:numId="7" w16cid:durableId="1074087428">
    <w:abstractNumId w:val="2"/>
  </w:num>
  <w:num w:numId="8" w16cid:durableId="1275988739">
    <w:abstractNumId w:val="1"/>
  </w:num>
  <w:num w:numId="9" w16cid:durableId="116189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C78"/>
    <w:rsid w:val="00034616"/>
    <w:rsid w:val="0006063C"/>
    <w:rsid w:val="000F0BE9"/>
    <w:rsid w:val="0015074B"/>
    <w:rsid w:val="002753B9"/>
    <w:rsid w:val="0029639D"/>
    <w:rsid w:val="00326F90"/>
    <w:rsid w:val="00380A09"/>
    <w:rsid w:val="00401478"/>
    <w:rsid w:val="0040307C"/>
    <w:rsid w:val="004C3027"/>
    <w:rsid w:val="004E7CB3"/>
    <w:rsid w:val="00510001"/>
    <w:rsid w:val="0054644F"/>
    <w:rsid w:val="00700E29"/>
    <w:rsid w:val="007D425B"/>
    <w:rsid w:val="008B66DC"/>
    <w:rsid w:val="008C74CD"/>
    <w:rsid w:val="0096369B"/>
    <w:rsid w:val="00A0286F"/>
    <w:rsid w:val="00AA1D8D"/>
    <w:rsid w:val="00AB1C46"/>
    <w:rsid w:val="00B47730"/>
    <w:rsid w:val="00BB2A8D"/>
    <w:rsid w:val="00BC433B"/>
    <w:rsid w:val="00CB0664"/>
    <w:rsid w:val="00DE4F95"/>
    <w:rsid w:val="00DF5219"/>
    <w:rsid w:val="00E60315"/>
    <w:rsid w:val="00FC693F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F72C8"/>
  <w14:defaultImageDpi w14:val="300"/>
  <w15:docId w15:val="{A73CC59D-6371-4C97-9497-69633C53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李若瑄</cp:lastModifiedBy>
  <cp:revision>9</cp:revision>
  <dcterms:created xsi:type="dcterms:W3CDTF">2013-12-23T23:15:00Z</dcterms:created>
  <dcterms:modified xsi:type="dcterms:W3CDTF">2025-05-27T03:29:00Z</dcterms:modified>
  <cp:category/>
</cp:coreProperties>
</file>