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00" w:before="200"/>
        <w:jc w:val="center"/>
      </w:pPr>
      <w:r>
        <w:rPr>
          <w:rFonts w:ascii="Arial" w:cs="Arial" w:eastAsia="Arial" w:hAnsi="Arial"/>
          <w:b/>
          <w:bCs/>
          <w:color w:val="1F3864"/>
          <w:sz w:val="56"/>
          <w:szCs w:val="56"/>
        </w:rPr>
        <w:t xml:space="preserve">TERMS OF REFERENCE</w:t>
      </w:r>
    </w:p>
    <w:p>
      <w:pPr>
        <w:spacing w:after="320" w:before="0"/>
        <w:jc w:val="center"/>
      </w:pPr>
      <w:r>
        <w:rPr>
          <w:rFonts w:ascii="Arial" w:cs="Arial" w:eastAsia="Arial" w:hAnsi="Arial"/>
          <w:i/>
          <w:iCs/>
          <w:color w:val="2E75B6"/>
          <w:sz w:val="26"/>
          <w:szCs w:val="26"/>
        </w:rPr>
        <w:t xml:space="preserve">GSEA Dashboard: NLP-Driven Green Software Engineering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Student Name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Animashaun Taiwo Ibrahim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Student ID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25942008 (please insert)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Programme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MSc Computer Science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Institution</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Manchester Metropolitan University (MMU)</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Supervisor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Samuel Attwood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Module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MSc Dissertation / Final Year Project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Project Title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GSEA Dashboard: Automated Extraction and Visualisation of Green Software Engineering Metrics via NLP and SCI-Compliant Analytics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Document Type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Terms of Reference (TOR)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Version</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 — For Supervisor Approval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Date Prepared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 June 2026</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Submission</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 be submitted via MMU Ethics &amp; TOR portal upon supervisor sign-off</w:t>
            </w:r>
          </w:p>
        </w:tc>
      </w:tr>
    </w:tbl>
    <w:p>
      <w:pPr>
        <w:spacing w:after="60" w:before="60"/>
      </w:pPr>
      <w:r>
        <w:t xml:space="preserve"/>
      </w:r>
    </w:p>
    <w:p>
      <w:pPr>
        <w:spacing w:after="60" w:before="60"/>
      </w:pPr>
      <w:r>
        <w:t xml:space="preserve"/>
      </w:r>
    </w:p>
    <w:p>
      <w:pPr>
        <w:pStyle w:val="Heading1"/>
        <w:pBdr>
          <w:bottom w:val="single" w:color="2E75B6" w:sz="6" w:space="1"/>
        </w:pBdr>
        <w:spacing w:after="160" w:before="340"/>
      </w:pPr>
      <w:r>
        <w:rPr>
          <w:rFonts w:ascii="Arial" w:cs="Arial" w:eastAsia="Arial" w:hAnsi="Arial"/>
          <w:b/>
          <w:bCs/>
          <w:color w:val="1F3864"/>
          <w:sz w:val="28"/>
          <w:szCs w:val="28"/>
        </w:rPr>
        <w:t xml:space="preserve">1.  Project Overview</w:t>
      </w:r>
    </w:p>
    <w:p>
      <w:pPr>
        <w:spacing w:after="60" w:before="60"/>
        <w:jc w:val="both"/>
      </w:pPr>
      <w:r>
        <w:rPr>
          <w:rFonts w:ascii="Arial" w:cs="Arial" w:eastAsia="Arial" w:hAnsi="Arial"/>
          <w:color w:val="333333"/>
          <w:sz w:val="22"/>
          <w:szCs w:val="22"/>
        </w:rPr>
        <w:t xml:space="preserve">The global software industry is a significant and growing contributor to carbon emissions. According to the Green Software Foundation (GSF), software accounts for approximately 2–4% of global carbon emissions — on par with the aviation industry. Despite this, practical tools for measuring, analysing, and improving software sustainability remain fragmented, technically demanding, and inaccessible to most developers.</w:t>
      </w:r>
    </w:p>
    <w:p>
      <w:pPr>
        <w:spacing w:after="60" w:before="60"/>
      </w:pPr>
      <w:r>
        <w:t xml:space="preserve"/>
      </w:r>
    </w:p>
    <w:p>
      <w:pPr>
        <w:spacing w:after="60" w:before="60"/>
        <w:jc w:val="both"/>
      </w:pPr>
      <w:r>
        <w:rPr>
          <w:rFonts w:ascii="Arial" w:cs="Arial" w:eastAsia="Arial" w:hAnsi="Arial"/>
          <w:color w:val="333333"/>
          <w:sz w:val="22"/>
          <w:szCs w:val="22"/>
        </w:rPr>
        <w:t xml:space="preserve">This project addresses that gap through the development of the GSEA (Green Software Engineering Analysis) Dashboard — a multi-module, web-based analytical platform that automates the measurement and visualisation of software carbon metrics, and uses Natural Language Processing (NLP) to extract green software adoption evidence from publicly available developer grey literature.</w:t>
      </w:r>
    </w:p>
    <w:p>
      <w:pPr>
        <w:spacing w:after="60" w:before="60"/>
      </w:pPr>
      <w:r>
        <w:t xml:space="preserve"/>
      </w:r>
    </w:p>
    <w:p>
      <w:pPr>
        <w:spacing w:after="60" w:before="60"/>
        <w:jc w:val="both"/>
      </w:pPr>
      <w:r>
        <w:rPr>
          <w:rFonts w:ascii="Arial" w:cs="Arial" w:eastAsia="Arial" w:hAnsi="Arial"/>
          <w:color w:val="333333"/>
          <w:sz w:val="22"/>
          <w:szCs w:val="22"/>
        </w:rPr>
        <w:t xml:space="preserve">The platform is built on two pillars:</w:t>
      </w:r>
    </w:p>
    <w:p>
      <w:pPr>
        <w:pStyle w:val="ListParagraph"/>
        <w:numPr>
          <w:ilvl w:val="0"/>
          <w:numId w:val="2"/>
        </w:numPr>
        <w:spacing w:after="40" w:before="40"/>
      </w:pPr>
      <w:r>
        <w:rPr>
          <w:rFonts w:ascii="Arial" w:cs="Arial" w:eastAsia="Arial" w:hAnsi="Arial"/>
          <w:b/>
          <w:bCs/>
          <w:color w:val="333333"/>
          <w:sz w:val="22"/>
          <w:szCs w:val="22"/>
        </w:rPr>
        <w:t xml:space="preserve">SCI Measurement: </w:t>
      </w:r>
      <w:r>
        <w:rPr>
          <w:rFonts w:ascii="Arial" w:cs="Arial" w:eastAsia="Arial" w:hAnsi="Arial"/>
          <w:b w:val="false"/>
          <w:bCs w:val="false"/>
          <w:color w:val="333333"/>
          <w:sz w:val="22"/>
          <w:szCs w:val="22"/>
        </w:rPr>
        <w:t xml:space="preserve">A standards-compliant implementation of the ISO/IEC 21031 Software Carbon Intensity (SCI) formula — SCI = (E × I + M) / R — accepting real data from CodeCarbon and Green Metrics Tool (GMT) CSV exports.</w:t>
      </w:r>
    </w:p>
    <w:p>
      <w:pPr>
        <w:pStyle w:val="ListParagraph"/>
        <w:numPr>
          <w:ilvl w:val="0"/>
          <w:numId w:val="2"/>
        </w:numPr>
        <w:spacing w:after="40" w:before="40"/>
      </w:pPr>
      <w:r>
        <w:rPr>
          <w:rFonts w:ascii="Arial" w:cs="Arial" w:eastAsia="Arial" w:hAnsi="Arial"/>
          <w:b/>
          <w:bCs/>
          <w:color w:val="333333"/>
          <w:sz w:val="22"/>
          <w:szCs w:val="22"/>
        </w:rPr>
        <w:t xml:space="preserve">NLP Extraction: </w:t>
      </w:r>
      <w:r>
        <w:rPr>
          <w:rFonts w:ascii="Arial" w:cs="Arial" w:eastAsia="Arial" w:hAnsi="Arial"/>
          <w:b w:val="false"/>
          <w:bCs w:val="false"/>
          <w:color w:val="333333"/>
          <w:sz w:val="22"/>
          <w:szCs w:val="22"/>
        </w:rPr>
        <w:t xml:space="preserve">An automated pipeline that fetches developer blog posts from the dev.to public API, applies spaCy-based Named Entity Recognition, and extracts structured GSE adoption signals — eliminating the need for manual data collection.</w:t>
      </w:r>
    </w:p>
    <w:p>
      <w:pPr>
        <w:spacing w:after="60" w:before="60"/>
      </w:pPr>
      <w:r>
        <w:t xml:space="preserve"/>
      </w:r>
    </w:p>
    <w:p>
      <w:pPr>
        <w:spacing w:after="60" w:before="60"/>
        <w:jc w:val="both"/>
      </w:pPr>
      <w:r>
        <w:rPr>
          <w:rFonts w:ascii="Arial" w:cs="Arial" w:eastAsia="Arial" w:hAnsi="Arial"/>
          <w:color w:val="333333"/>
          <w:sz w:val="22"/>
          <w:szCs w:val="22"/>
        </w:rPr>
        <w:t xml:space="preserve">The dashboard is developed using Python (Streamlit, FastAPI, spaCy, Plotly, Pandas) and is structured as a 9-module application covering SCI calculation, energy trend analysis, regional carbon mapping, proxy metrics (CPU/memory), NLP extraction, comparative analysis, data ingestion, and report export.</w:t>
      </w:r>
    </w:p>
    <w:p>
      <w:pPr>
        <w:spacing w:after="60" w:before="60"/>
      </w:pPr>
      <w:r>
        <w:t xml:space="preserve"/>
      </w:r>
    </w:p>
    <w:p>
      <w:pPr>
        <w:pStyle w:val="Heading1"/>
        <w:pBdr>
          <w:bottom w:val="single" w:color="2E75B6" w:sz="6" w:space="1"/>
        </w:pBdr>
        <w:spacing w:after="160" w:before="340"/>
      </w:pPr>
      <w:r>
        <w:rPr>
          <w:rFonts w:ascii="Arial" w:cs="Arial" w:eastAsia="Arial" w:hAnsi="Arial"/>
          <w:b/>
          <w:bCs/>
          <w:color w:val="1F3864"/>
          <w:sz w:val="28"/>
          <w:szCs w:val="28"/>
        </w:rPr>
        <w:t xml:space="preserve">2.  Background and Motivation</w:t>
      </w:r>
    </w:p>
    <w:p>
      <w:pPr>
        <w:spacing w:after="60" w:before="60"/>
        <w:jc w:val="both"/>
      </w:pPr>
      <w:r>
        <w:rPr>
          <w:rFonts w:ascii="Arial" w:cs="Arial" w:eastAsia="Arial" w:hAnsi="Arial"/>
          <w:color w:val="333333"/>
          <w:sz w:val="22"/>
          <w:szCs w:val="22"/>
        </w:rPr>
        <w:t xml:space="preserve">Green Software Engineering (GSE) is an emerging discipline concerned with designing, building, and running software in a manner that minimises environmental impact. Key standards guiding this work include:</w:t>
      </w:r>
    </w:p>
    <w:p>
      <w:pPr>
        <w:pStyle w:val="ListParagraph"/>
        <w:numPr>
          <w:ilvl w:val="0"/>
          <w:numId w:val="2"/>
        </w:numPr>
        <w:spacing w:after="40" w:before="40"/>
      </w:pPr>
      <w:r>
        <w:rPr>
          <w:rFonts w:ascii="Arial" w:cs="Arial" w:eastAsia="Arial" w:hAnsi="Arial"/>
          <w:b/>
          <w:bCs/>
          <w:color w:val="333333"/>
          <w:sz w:val="22"/>
          <w:szCs w:val="22"/>
        </w:rPr>
        <w:t xml:space="preserve">ISO/IEC 21031 (SCI Specification): </w:t>
      </w:r>
      <w:r>
        <w:rPr>
          <w:rFonts w:ascii="Arial" w:cs="Arial" w:eastAsia="Arial" w:hAnsi="Arial"/>
          <w:b w:val="false"/>
          <w:bCs w:val="false"/>
          <w:color w:val="333333"/>
          <w:sz w:val="22"/>
          <w:szCs w:val="22"/>
        </w:rPr>
        <w:t xml:space="preserve">Defines the Software Carbon Intensity metric as a standardised way to measure the carbon cost of software per unit of work.</w:t>
      </w:r>
    </w:p>
    <w:p>
      <w:pPr>
        <w:pStyle w:val="ListParagraph"/>
        <w:numPr>
          <w:ilvl w:val="0"/>
          <w:numId w:val="2"/>
        </w:numPr>
        <w:spacing w:after="40" w:before="40"/>
      </w:pPr>
      <w:r>
        <w:rPr>
          <w:rFonts w:ascii="Arial" w:cs="Arial" w:eastAsia="Arial" w:hAnsi="Arial"/>
          <w:b/>
          <w:bCs/>
          <w:color w:val="333333"/>
          <w:sz w:val="22"/>
          <w:szCs w:val="22"/>
        </w:rPr>
        <w:t xml:space="preserve">GSF SOGS 2023 (Structured Open Governance Standard): </w:t>
      </w:r>
      <w:r>
        <w:rPr>
          <w:rFonts w:ascii="Arial" w:cs="Arial" w:eastAsia="Arial" w:hAnsi="Arial"/>
          <w:b w:val="false"/>
          <w:bCs w:val="false"/>
          <w:color w:val="333333"/>
          <w:sz w:val="22"/>
          <w:szCs w:val="22"/>
        </w:rPr>
        <w:t xml:space="preserve">Outlines reporting requirements for green software measurement outputs.</w:t>
      </w:r>
    </w:p>
    <w:p>
      <w:pPr>
        <w:spacing w:after="60" w:before="60"/>
      </w:pPr>
      <w:r>
        <w:t xml:space="preserve"/>
      </w:r>
    </w:p>
    <w:p>
      <w:pPr>
        <w:spacing w:after="60" w:before="60"/>
        <w:jc w:val="both"/>
      </w:pPr>
      <w:r>
        <w:rPr>
          <w:rFonts w:ascii="Arial" w:cs="Arial" w:eastAsia="Arial" w:hAnsi="Arial"/>
          <w:color w:val="333333"/>
          <w:sz w:val="22"/>
          <w:szCs w:val="22"/>
        </w:rPr>
        <w:t xml:space="preserve">Despite these standards, there is no widely adopted, accessible tool that (a) implements SCI in a usable dashboard, (b) integrates real measurement data from open-source tools like CodeCarbon and GMT, and (c) automatically discovers GSE adoption patterns across the developer community. This project fills all three gaps in a single coherent system, forming the basis of a novel MSc-level research contribution.</w:t>
      </w:r>
    </w:p>
    <w:p>
      <w:pPr>
        <w:spacing w:after="60" w:before="60"/>
      </w:pPr>
      <w:r>
        <w:t xml:space="preserve"/>
      </w:r>
    </w:p>
    <w:p>
      <w:pPr>
        <w:spacing w:after="60" w:before="60"/>
        <w:jc w:val="both"/>
      </w:pPr>
      <w:r>
        <w:rPr>
          <w:rFonts w:ascii="Arial" w:cs="Arial" w:eastAsia="Arial" w:hAnsi="Arial"/>
          <w:color w:val="333333"/>
          <w:sz w:val="22"/>
          <w:szCs w:val="22"/>
        </w:rPr>
        <w:t xml:space="preserve">The supervisor's feedback specifically highlighted the NLP aspect — using automation to extract GSE-related data from grey literature such as blogs — as the core research novelty. This TOR incorporates that feedback directly, positioning the NLP pipeline as the primary academic contribution, with the SCI dashboard serving as the applied artefact.</w:t>
      </w:r>
    </w:p>
    <w:p>
      <w:pPr>
        <w:spacing w:after="60" w:before="60"/>
      </w:pPr>
      <w:r>
        <w:t xml:space="preserve"/>
      </w:r>
    </w:p>
    <w:p>
      <w:pPr>
        <w:pStyle w:val="Heading1"/>
        <w:pBdr>
          <w:bottom w:val="single" w:color="2E75B6" w:sz="6" w:space="1"/>
        </w:pBdr>
        <w:spacing w:after="160" w:before="340"/>
      </w:pPr>
      <w:r>
        <w:rPr>
          <w:rFonts w:ascii="Arial" w:cs="Arial" w:eastAsia="Arial" w:hAnsi="Arial"/>
          <w:b/>
          <w:bCs/>
          <w:color w:val="1F3864"/>
          <w:sz w:val="28"/>
          <w:szCs w:val="28"/>
        </w:rPr>
        <w:t xml:space="preserve">3.  Problem Statement</w:t>
      </w:r>
    </w:p>
    <w:p>
      <w:pPr>
        <w:spacing w:after="60" w:before="60"/>
        <w:jc w:val="both"/>
      </w:pPr>
      <w:r>
        <w:rPr>
          <w:rFonts w:ascii="Arial" w:cs="Arial" w:eastAsia="Arial" w:hAnsi="Arial"/>
          <w:color w:val="333333"/>
          <w:sz w:val="22"/>
          <w:szCs w:val="22"/>
        </w:rPr>
        <w:t xml:space="preserve">The following four gaps motivate this research:</w:t>
      </w:r>
    </w:p>
    <w:p>
      <w:pPr>
        <w:spacing w:after="60" w:before="60"/>
      </w:pPr>
      <w:r>
        <w:t xml:space="preserve"/>
      </w:r>
    </w:p>
    <w:p>
      <w:pPr>
        <w:pStyle w:val="ListParagraph"/>
        <w:numPr>
          <w:ilvl w:val="0"/>
          <w:numId w:val="2"/>
        </w:numPr>
        <w:spacing w:after="40" w:before="40"/>
      </w:pPr>
      <w:r>
        <w:rPr>
          <w:rFonts w:ascii="Arial" w:cs="Arial" w:eastAsia="Arial" w:hAnsi="Arial"/>
          <w:b/>
          <w:bCs/>
          <w:color w:val="333333"/>
          <w:sz w:val="22"/>
          <w:szCs w:val="22"/>
        </w:rPr>
        <w:t xml:space="preserve">Gap 1 — No accessible SCI tool: </w:t>
      </w:r>
      <w:r>
        <w:rPr>
          <w:rFonts w:ascii="Arial" w:cs="Arial" w:eastAsia="Arial" w:hAnsi="Arial"/>
          <w:b w:val="false"/>
          <w:bCs w:val="false"/>
          <w:color w:val="333333"/>
          <w:sz w:val="22"/>
          <w:szCs w:val="22"/>
        </w:rPr>
        <w:t xml:space="preserve">Existing carbon measurement libraries (CodeCarbon, GMT) produce raw data but offer no integrated visualisation, comparative analysis, or standards-compliant SCI reporting.</w:t>
      </w:r>
    </w:p>
    <w:p>
      <w:pPr>
        <w:pStyle w:val="ListParagraph"/>
        <w:numPr>
          <w:ilvl w:val="0"/>
          <w:numId w:val="2"/>
        </w:numPr>
        <w:spacing w:after="40" w:before="40"/>
      </w:pPr>
      <w:r>
        <w:rPr>
          <w:rFonts w:ascii="Arial" w:cs="Arial" w:eastAsia="Arial" w:hAnsi="Arial"/>
          <w:b/>
          <w:bCs/>
          <w:color w:val="333333"/>
          <w:sz w:val="22"/>
          <w:szCs w:val="22"/>
        </w:rPr>
        <w:t xml:space="preserve">Gap 2 — Manual GSE data collection: </w:t>
      </w:r>
      <w:r>
        <w:rPr>
          <w:rFonts w:ascii="Arial" w:cs="Arial" w:eastAsia="Arial" w:hAnsi="Arial"/>
          <w:b w:val="false"/>
          <w:bCs w:val="false"/>
          <w:color w:val="333333"/>
          <w:sz w:val="22"/>
          <w:szCs w:val="22"/>
        </w:rPr>
        <w:t xml:space="preserve">GSE adoption data is scattered across thousands of developer blogs and documentation pages. No automated system exists to collect and structure this information at scale.</w:t>
      </w:r>
    </w:p>
    <w:p>
      <w:pPr>
        <w:pStyle w:val="ListParagraph"/>
        <w:numPr>
          <w:ilvl w:val="0"/>
          <w:numId w:val="2"/>
        </w:numPr>
        <w:spacing w:after="40" w:before="40"/>
      </w:pPr>
      <w:r>
        <w:rPr>
          <w:rFonts w:ascii="Arial" w:cs="Arial" w:eastAsia="Arial" w:hAnsi="Arial"/>
          <w:b/>
          <w:bCs/>
          <w:color w:val="333333"/>
          <w:sz w:val="22"/>
          <w:szCs w:val="22"/>
        </w:rPr>
        <w:t xml:space="preserve">Gap 3 — Fragmented tooling: </w:t>
      </w:r>
      <w:r>
        <w:rPr>
          <w:rFonts w:ascii="Arial" w:cs="Arial" w:eastAsia="Arial" w:hAnsi="Arial"/>
          <w:b w:val="false"/>
          <w:bCs w:val="false"/>
          <w:color w:val="333333"/>
          <w:sz w:val="22"/>
          <w:szCs w:val="22"/>
        </w:rPr>
        <w:t xml:space="preserve">Researchers and practitioners must use multiple separate tools (CodeCarbon for measurement, Excel for analysis, manual search for benchmarking) with no unified workflow.</w:t>
      </w:r>
    </w:p>
    <w:p>
      <w:pPr>
        <w:pStyle w:val="ListParagraph"/>
        <w:numPr>
          <w:ilvl w:val="0"/>
          <w:numId w:val="2"/>
        </w:numPr>
        <w:spacing w:after="40" w:before="40"/>
      </w:pPr>
      <w:r>
        <w:rPr>
          <w:rFonts w:ascii="Arial" w:cs="Arial" w:eastAsia="Arial" w:hAnsi="Arial"/>
          <w:b/>
          <w:bCs/>
          <w:color w:val="333333"/>
          <w:sz w:val="22"/>
          <w:szCs w:val="22"/>
        </w:rPr>
        <w:t xml:space="preserve">Gap 4 — Lack of evaluation frameworks: </w:t>
      </w:r>
      <w:r>
        <w:rPr>
          <w:rFonts w:ascii="Arial" w:cs="Arial" w:eastAsia="Arial" w:hAnsi="Arial"/>
          <w:b w:val="false"/>
          <w:bCs w:val="false"/>
          <w:color w:val="333333"/>
          <w:sz w:val="22"/>
          <w:szCs w:val="22"/>
        </w:rPr>
        <w:t xml:space="preserve">There is limited empirical evidence on the usability and accuracy of SCI-aligned dashboards in real development contexts.</w:t>
      </w:r>
    </w:p>
    <w:p>
      <w:pPr>
        <w:spacing w:after="60" w:before="60"/>
      </w:pPr>
      <w:r>
        <w:t xml:space="preserve"/>
      </w:r>
    </w:p>
    <w:p>
      <w:pPr>
        <w:pStyle w:val="Heading1"/>
        <w:pBdr>
          <w:bottom w:val="single" w:color="2E75B6" w:sz="6" w:space="1"/>
        </w:pBdr>
        <w:spacing w:after="160" w:before="340"/>
      </w:pPr>
      <w:r>
        <w:rPr>
          <w:rFonts w:ascii="Arial" w:cs="Arial" w:eastAsia="Arial" w:hAnsi="Arial"/>
          <w:b/>
          <w:bCs/>
          <w:color w:val="1F3864"/>
          <w:sz w:val="28"/>
          <w:szCs w:val="28"/>
        </w:rPr>
        <w:t xml:space="preserve">4.  Aims and Objectives</w:t>
      </w:r>
    </w:p>
    <w:p>
      <w:pPr>
        <w:pStyle w:val="Heading2"/>
        <w:spacing w:after="100" w:before="220"/>
      </w:pPr>
      <w:r>
        <w:rPr>
          <w:rFonts w:ascii="Arial" w:cs="Arial" w:eastAsia="Arial" w:hAnsi="Arial"/>
          <w:b/>
          <w:bCs/>
          <w:color w:val="2E75B6"/>
          <w:sz w:val="24"/>
          <w:szCs w:val="24"/>
        </w:rPr>
        <w:t xml:space="preserve">4.1  Primary Aim</w:t>
      </w:r>
    </w:p>
    <w:p>
      <w:pPr>
        <w:spacing w:after="60" w:before="60"/>
        <w:jc w:val="both"/>
      </w:pPr>
      <w:r>
        <w:rPr>
          <w:rFonts w:ascii="Arial" w:cs="Arial" w:eastAsia="Arial" w:hAnsi="Arial"/>
          <w:color w:val="333333"/>
          <w:sz w:val="22"/>
          <w:szCs w:val="22"/>
        </w:rPr>
        <w:t xml:space="preserve">To design, implement, and evaluate a Streamlit-based dashboard that (i) automates the NLP-based extraction of green software engineering metrics from dev.to grey literature, and (ii) provides a standards-compliant SCI measurement and visualisation framework for software carbon analysis.</w:t>
      </w:r>
    </w:p>
    <w:p>
      <w:pPr>
        <w:spacing w:after="60" w:before="60"/>
      </w:pPr>
      <w:r>
        <w:t xml:space="preserve"/>
      </w:r>
    </w:p>
    <w:p>
      <w:pPr>
        <w:pStyle w:val="Heading2"/>
        <w:spacing w:after="100" w:before="220"/>
      </w:pPr>
      <w:r>
        <w:rPr>
          <w:rFonts w:ascii="Arial" w:cs="Arial" w:eastAsia="Arial" w:hAnsi="Arial"/>
          <w:b/>
          <w:bCs/>
          <w:color w:val="2E75B6"/>
          <w:sz w:val="24"/>
          <w:szCs w:val="24"/>
        </w:rPr>
        <w:t xml:space="preserve">4.2  Research Objectives with Success Criteria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5466"/>
        <w:gridCol w:w="3000"/>
      </w:tblGrid>
      <w:tr>
        <w:tc>
          <w:tcPr>
            <w:tcW w:type="dxa" w:w="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4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Success Criterion</w:t>
            </w:r>
          </w:p>
        </w:tc>
      </w:tr>
      <w:tr>
        <w:tc>
          <w:tcPr>
            <w:tcW w:type="dxa" w:w="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2E75B6"/>
                <w:sz w:val="20"/>
                <w:szCs w:val="20"/>
              </w:rPr>
              <w:t xml:space="preserve">O1</w:t>
            </w:r>
          </w:p>
        </w:tc>
        <w:tc>
          <w:tcPr>
            <w:tcW w:type="dxa" w:w="546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Design and implement an NLP pipeline using spaCy to automatically extract GSE metrics, tool mentions, and adoption signals from dev.to articles filtered by green software tags.</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555555"/>
                <w:sz w:val="20"/>
                <w:szCs w:val="20"/>
              </w:rPr>
              <w:t xml:space="preserve">Precision ≥ 0.75, Recall ≥ 0.70, F1 ≥ 0.72 on manually labelled test set of 50 articles.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O2</w:t>
            </w:r>
          </w:p>
        </w:tc>
        <w:tc>
          <w:tcPr>
            <w:tcW w:type="dxa" w:w="54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a SCI Calculator module compliant with ISO/IEC 21031 supporting both manual input and batch CSV processing from CodeCarbon and GMT data formats.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SCI outputs validated against known CodeCarbon benchmarks within ±5% tolerance across 3 reference scripts.</w:t>
            </w:r>
          </w:p>
        </w:tc>
      </w:tr>
      <w:tr>
        <w:tc>
          <w:tcPr>
            <w:tcW w:type="dxa" w:w="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2E75B6"/>
                <w:sz w:val="20"/>
                <w:szCs w:val="20"/>
              </w:rPr>
              <w:t xml:space="preserve">O3</w:t>
            </w:r>
          </w:p>
        </w:tc>
        <w:tc>
          <w:tcPr>
            <w:tcW w:type="dxa" w:w="546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Develop a robust Data Ingestion module that parses and normalises CSV/Excel uploads in GMT and CodeCarbon formats into a unified dashboard session state.</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555555"/>
                <w:sz w:val="20"/>
                <w:szCs w:val="20"/>
              </w:rPr>
              <w:t xml:space="preserve">All three supported data formats ingest without error; column mapping correctly applied.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O4</w:t>
            </w:r>
          </w:p>
        </w:tc>
        <w:tc>
          <w:tcPr>
            <w:tcW w:type="dxa" w:w="54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Implement Energy Trend, Carbon Map, and Proxy Metrics modules for time-series and geographic visualisation, integrated with the Electricity Maps API for live carbon intensity.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Charts render correctly with ingested data; Carbon Map displays real regional gCO₂/kWh values.</w:t>
            </w:r>
          </w:p>
        </w:tc>
      </w:tr>
      <w:tr>
        <w:tc>
          <w:tcPr>
            <w:tcW w:type="dxa" w:w="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2E75B6"/>
                <w:sz w:val="20"/>
                <w:szCs w:val="20"/>
              </w:rPr>
              <w:t xml:space="preserve">O5</w:t>
            </w:r>
          </w:p>
        </w:tc>
        <w:tc>
          <w:tcPr>
            <w:tcW w:type="dxa" w:w="546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Conduct a usability evaluation of the complete dashboard with 3–5 target users using the System Usability Scale (SUS) and think-aloud protocol.</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555555"/>
                <w:sz w:val="20"/>
                <w:szCs w:val="20"/>
              </w:rPr>
              <w:t xml:space="preserve">Mean SUS score ≥ 68 (above-average usability threshold per Bangor et al., 2009).</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O6</w:t>
            </w:r>
          </w:p>
        </w:tc>
        <w:tc>
          <w:tcPr>
            <w:tcW w:type="dxa" w:w="54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Generate exportable comparative analysis reports (CSV and JSON) from session data that conform to GSF SOGS 2023 reporting fields.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Exported reports contain all required SCI fields and open correctly in Excel and standard JSON parsers.</w:t>
            </w:r>
          </w:p>
        </w:tc>
      </w:tr>
    </w:tbl>
    <w:p>
      <w:pPr>
        <w:spacing w:after="60" w:before="60"/>
      </w:pPr>
      <w:r>
        <w:t xml:space="preserve"/>
      </w:r>
    </w:p>
    <w:p>
      <w:pPr>
        <w:spacing w:after="60" w:before="60"/>
      </w:pPr>
      <w:r>
        <w:t xml:space="preserve"/>
      </w:r>
    </w:p>
    <w:p>
      <w:pPr>
        <w:pStyle w:val="Heading1"/>
        <w:pBdr>
          <w:bottom w:val="single" w:color="2E75B6" w:sz="6" w:space="1"/>
        </w:pBdr>
        <w:spacing w:after="160" w:before="340"/>
      </w:pPr>
      <w:r>
        <w:rPr>
          <w:rFonts w:ascii="Arial" w:cs="Arial" w:eastAsia="Arial" w:hAnsi="Arial"/>
          <w:b/>
          <w:bCs/>
          <w:color w:val="1F3864"/>
          <w:sz w:val="28"/>
          <w:szCs w:val="28"/>
        </w:rPr>
        <w:t xml:space="preserve">5.  Data Sources</w:t>
      </w:r>
    </w:p>
    <w:p>
      <w:pPr>
        <w:spacing w:after="60" w:before="60"/>
        <w:jc w:val="both"/>
      </w:pPr>
      <w:r>
        <w:rPr>
          <w:rFonts w:ascii="Arial" w:cs="Arial" w:eastAsia="Arial" w:hAnsi="Arial"/>
          <w:color w:val="333333"/>
          <w:sz w:val="22"/>
          <w:szCs w:val="22"/>
        </w:rPr>
        <w:t xml:space="preserve">A key supervisor requirement was clarity on data provenance. The following sources have been identified, confirmed as accessible, and integrated into the system architecture:</w:t>
      </w:r>
    </w:p>
    <w:p>
      <w:pPr>
        <w:spacing w:after="60" w:before="60"/>
      </w:pPr>
      <w:r>
        <w:t xml:space="preserve"/>
      </w:r>
    </w:p>
    <w:p>
      <w:pPr>
        <w:pStyle w:val="Heading2"/>
        <w:spacing w:after="100" w:before="220"/>
      </w:pPr>
      <w:r>
        <w:rPr>
          <w:rFonts w:ascii="Arial" w:cs="Arial" w:eastAsia="Arial" w:hAnsi="Arial"/>
          <w:b/>
          <w:bCs/>
          <w:color w:val="2E75B6"/>
          <w:sz w:val="24"/>
          <w:szCs w:val="24"/>
        </w:rPr>
        <w:t xml:space="preserve">5.1  Grey Literature — NLP Corpus (Primary Research Data)</w:t>
      </w:r>
    </w:p>
    <w:p>
      <w:pPr>
        <w:pStyle w:val="ListParagraph"/>
        <w:numPr>
          <w:ilvl w:val="0"/>
          <w:numId w:val="2"/>
        </w:numPr>
        <w:spacing w:after="40" w:before="40"/>
      </w:pPr>
      <w:r>
        <w:rPr>
          <w:rFonts w:ascii="Arial" w:cs="Arial" w:eastAsia="Arial" w:hAnsi="Arial"/>
          <w:b/>
          <w:bCs/>
          <w:color w:val="333333"/>
          <w:sz w:val="22"/>
          <w:szCs w:val="22"/>
        </w:rPr>
        <w:t xml:space="preserve">Source: </w:t>
      </w:r>
      <w:r>
        <w:rPr>
          <w:rFonts w:ascii="Arial" w:cs="Arial" w:eastAsia="Arial" w:hAnsi="Arial"/>
          <w:b w:val="false"/>
          <w:bCs w:val="false"/>
          <w:color w:val="333333"/>
          <w:sz w:val="22"/>
          <w:szCs w:val="22"/>
        </w:rPr>
        <w:t xml:space="preserve">dev.to Public API (https://dev.to/api/articles)</w:t>
      </w:r>
    </w:p>
    <w:p>
      <w:pPr>
        <w:pStyle w:val="ListParagraph"/>
        <w:numPr>
          <w:ilvl w:val="1"/>
          <w:numId w:val="2"/>
        </w:numPr>
        <w:spacing w:after="30" w:before="30"/>
      </w:pPr>
      <w:r>
        <w:rPr>
          <w:rFonts w:ascii="Arial" w:cs="Arial" w:eastAsia="Arial" w:hAnsi="Arial"/>
          <w:color w:val="555555"/>
          <w:sz w:val="21"/>
          <w:szCs w:val="21"/>
        </w:rPr>
        <w:t xml:space="preserve">Free and openly accessible — no authentication required for read access.</w:t>
      </w:r>
    </w:p>
    <w:p>
      <w:pPr>
        <w:pStyle w:val="ListParagraph"/>
        <w:numPr>
          <w:ilvl w:val="1"/>
          <w:numId w:val="2"/>
        </w:numPr>
        <w:spacing w:after="30" w:before="30"/>
      </w:pPr>
      <w:r>
        <w:rPr>
          <w:rFonts w:ascii="Arial" w:cs="Arial" w:eastAsia="Arial" w:hAnsi="Arial"/>
          <w:color w:val="555555"/>
          <w:sz w:val="21"/>
          <w:szCs w:val="21"/>
        </w:rPr>
        <w:t xml:space="preserve">Articles will be fetched using tag filters: green-software, sustainability, carbon, energy-efficiency, climate.</w:t>
      </w:r>
    </w:p>
    <w:p>
      <w:pPr>
        <w:pStyle w:val="ListParagraph"/>
        <w:numPr>
          <w:ilvl w:val="1"/>
          <w:numId w:val="2"/>
        </w:numPr>
        <w:spacing w:after="30" w:before="30"/>
      </w:pPr>
      <w:r>
        <w:rPr>
          <w:rFonts w:ascii="Arial" w:cs="Arial" w:eastAsia="Arial" w:hAnsi="Arial"/>
          <w:color w:val="555555"/>
          <w:sz w:val="21"/>
          <w:szCs w:val="21"/>
        </w:rPr>
        <w:t xml:space="preserve">Approximately 500–1,000 articles available under these tags at time of writing.</w:t>
      </w:r>
    </w:p>
    <w:p>
      <w:pPr>
        <w:pStyle w:val="ListParagraph"/>
        <w:numPr>
          <w:ilvl w:val="1"/>
          <w:numId w:val="2"/>
        </w:numPr>
        <w:spacing w:after="30" w:before="30"/>
      </w:pPr>
      <w:r>
        <w:rPr>
          <w:rFonts w:ascii="Arial" w:cs="Arial" w:eastAsia="Arial" w:hAnsi="Arial"/>
          <w:color w:val="555555"/>
          <w:sz w:val="21"/>
          <w:szCs w:val="21"/>
        </w:rPr>
        <w:t xml:space="preserve">Metadata collected per article: title, URL, author username, published_at, body_markdown, tag_list.</w:t>
      </w:r>
    </w:p>
    <w:p>
      <w:pPr>
        <w:pStyle w:val="ListParagraph"/>
        <w:numPr>
          <w:ilvl w:val="1"/>
          <w:numId w:val="2"/>
        </w:numPr>
        <w:spacing w:after="30" w:before="30"/>
      </w:pPr>
      <w:r>
        <w:rPr>
          <w:rFonts w:ascii="Arial" w:cs="Arial" w:eastAsia="Arial" w:hAnsi="Arial"/>
          <w:color w:val="555555"/>
          <w:sz w:val="21"/>
          <w:szCs w:val="21"/>
        </w:rPr>
        <w:t xml:space="preserve">A manually labelled ground-truth set of 50 articles will be created for NLP precision/recall evaluation.</w:t>
      </w:r>
    </w:p>
    <w:p>
      <w:pPr>
        <w:pStyle w:val="ListParagraph"/>
        <w:numPr>
          <w:ilvl w:val="1"/>
          <w:numId w:val="2"/>
        </w:numPr>
        <w:spacing w:after="30" w:before="30"/>
      </w:pPr>
      <w:r>
        <w:rPr>
          <w:rFonts w:ascii="Arial" w:cs="Arial" w:eastAsia="Arial" w:hAnsi="Arial"/>
          <w:color w:val="555555"/>
          <w:sz w:val="21"/>
          <w:szCs w:val="21"/>
        </w:rPr>
        <w:t xml:space="preserve">Supervisor reference: DEV API (beta) | Forem Docs — https://developers.forem.com/api</w:t>
      </w:r>
    </w:p>
    <w:p>
      <w:pPr>
        <w:spacing w:after="60" w:before="60"/>
      </w:pPr>
      <w:r>
        <w:t xml:space="preserve"/>
      </w:r>
    </w:p>
    <w:p>
      <w:pPr>
        <w:pStyle w:val="Heading2"/>
        <w:spacing w:after="100" w:before="220"/>
      </w:pPr>
      <w:r>
        <w:rPr>
          <w:rFonts w:ascii="Arial" w:cs="Arial" w:eastAsia="Arial" w:hAnsi="Arial"/>
          <w:b/>
          <w:bCs/>
          <w:color w:val="2E75B6"/>
          <w:sz w:val="24"/>
          <w:szCs w:val="24"/>
        </w:rPr>
        <w:t xml:space="preserve">5.2  Energy and Emissions Measurement Data</w:t>
      </w:r>
    </w:p>
    <w:p>
      <w:pPr>
        <w:pStyle w:val="ListParagraph"/>
        <w:numPr>
          <w:ilvl w:val="0"/>
          <w:numId w:val="2"/>
        </w:numPr>
        <w:spacing w:after="40" w:before="40"/>
      </w:pPr>
      <w:r>
        <w:rPr>
          <w:rFonts w:ascii="Arial" w:cs="Arial" w:eastAsia="Arial" w:hAnsi="Arial"/>
          <w:b/>
          <w:bCs/>
          <w:color w:val="333333"/>
          <w:sz w:val="22"/>
          <w:szCs w:val="22"/>
        </w:rPr>
        <w:t xml:space="preserve">CodeCarbon (https://mlco2.github.io/codecarbon): </w:t>
      </w:r>
      <w:r>
        <w:rPr>
          <w:rFonts w:ascii="Arial" w:cs="Arial" w:eastAsia="Arial" w:hAnsi="Arial"/>
          <w:b w:val="false"/>
          <w:bCs w:val="false"/>
          <w:color w:val="333333"/>
          <w:sz w:val="22"/>
          <w:szCs w:val="22"/>
        </w:rPr>
        <w:t xml:space="preserve">Open-source Python library that instruments code execution and produces emissions.csv containing: timestamp, duration, emissions, energy_consumed, country_iso_code, cpu_power, gpu_power, ram_power. Used for SCI Calculator validation.</w:t>
      </w:r>
    </w:p>
    <w:p>
      <w:pPr>
        <w:pStyle w:val="ListParagraph"/>
        <w:numPr>
          <w:ilvl w:val="0"/>
          <w:numId w:val="2"/>
        </w:numPr>
        <w:spacing w:after="40" w:before="40"/>
      </w:pPr>
      <w:r>
        <w:rPr>
          <w:rFonts w:ascii="Arial" w:cs="Arial" w:eastAsia="Arial" w:hAnsi="Arial"/>
          <w:b/>
          <w:bCs/>
          <w:color w:val="333333"/>
          <w:sz w:val="22"/>
          <w:szCs w:val="22"/>
        </w:rPr>
        <w:t xml:space="preserve">Green Metrics Tool / GMT (https://www.green-coding.io): </w:t>
      </w:r>
      <w:r>
        <w:rPr>
          <w:rFonts w:ascii="Arial" w:cs="Arial" w:eastAsia="Arial" w:hAnsi="Arial"/>
          <w:b w:val="false"/>
          <w:bCs w:val="false"/>
          <w:color w:val="333333"/>
          <w:sz w:val="22"/>
          <w:szCs w:val="22"/>
        </w:rPr>
        <w:t xml:space="preserve">Open-source containerised measurement framework producing structured CSV output with columns: timestamp, energy_kwh, cpu_util, memory_mb, operational_carbon, embodied_carbon, total_carbon, sci_score. The Data Ingestion module natively parses this format.</w:t>
      </w:r>
    </w:p>
    <w:p>
      <w:pPr>
        <w:spacing w:after="60" w:before="60"/>
      </w:pPr>
      <w:r>
        <w:t xml:space="preserve"/>
      </w:r>
    </w:p>
    <w:p>
      <w:pPr>
        <w:pStyle w:val="Heading2"/>
        <w:spacing w:after="100" w:before="220"/>
      </w:pPr>
      <w:r>
        <w:rPr>
          <w:rFonts w:ascii="Arial" w:cs="Arial" w:eastAsia="Arial" w:hAnsi="Arial"/>
          <w:b/>
          <w:bCs/>
          <w:color w:val="2E75B6"/>
          <w:sz w:val="24"/>
          <w:szCs w:val="24"/>
        </w:rPr>
        <w:t xml:space="preserve">5.3  Grid Carbon Intensity Data</w:t>
      </w:r>
    </w:p>
    <w:p>
      <w:pPr>
        <w:pStyle w:val="ListParagraph"/>
        <w:numPr>
          <w:ilvl w:val="0"/>
          <w:numId w:val="2"/>
        </w:numPr>
        <w:spacing w:after="40" w:before="40"/>
      </w:pPr>
      <w:r>
        <w:rPr>
          <w:rFonts w:ascii="Arial" w:cs="Arial" w:eastAsia="Arial" w:hAnsi="Arial"/>
          <w:b/>
          <w:bCs/>
          <w:color w:val="333333"/>
          <w:sz w:val="22"/>
          <w:szCs w:val="22"/>
        </w:rPr>
        <w:t xml:space="preserve">Electricity Maps API (https://api.electricitymap.org): </w:t>
      </w:r>
      <w:r>
        <w:rPr>
          <w:rFonts w:ascii="Arial" w:cs="Arial" w:eastAsia="Arial" w:hAnsi="Arial"/>
          <w:b w:val="false"/>
          <w:bCs w:val="false"/>
          <w:color w:val="333333"/>
          <w:sz w:val="22"/>
          <w:szCs w:val="22"/>
        </w:rPr>
        <w:t xml:space="preserve">Provides real-time and historical carbon intensity (gCO₂/kWh) by country and region. Free tier available; API key stored securely in .streamlit/secrets.toml. Powers the Carbon Map module. Static IEA 2023 lookup table used as fallback if API is unavailable.</w:t>
      </w:r>
    </w:p>
    <w:p>
      <w:pPr>
        <w:spacing w:after="60" w:before="60"/>
      </w:pPr>
      <w:r>
        <w:t xml:space="preserve"/>
      </w:r>
    </w:p>
    <w:p>
      <w:pPr>
        <w:pStyle w:val="Heading2"/>
        <w:spacing w:after="100" w:before="220"/>
      </w:pPr>
      <w:r>
        <w:rPr>
          <w:rFonts w:ascii="Arial" w:cs="Arial" w:eastAsia="Arial" w:hAnsi="Arial"/>
          <w:b/>
          <w:bCs/>
          <w:color w:val="2E75B6"/>
          <w:sz w:val="24"/>
          <w:szCs w:val="24"/>
        </w:rPr>
        <w:t xml:space="preserve">5.4  Synthetic Sample Data</w:t>
      </w:r>
    </w:p>
    <w:p>
      <w:pPr>
        <w:pStyle w:val="ListParagraph"/>
        <w:numPr>
          <w:ilvl w:val="0"/>
          <w:numId w:val="2"/>
        </w:numPr>
        <w:spacing w:after="40" w:before="40"/>
      </w:pPr>
      <w:r>
        <w:rPr>
          <w:rFonts w:ascii="Arial" w:cs="Arial" w:eastAsia="Arial" w:hAnsi="Arial"/>
          <w:color w:val="333333"/>
          <w:sz w:val="22"/>
          <w:szCs w:val="22"/>
        </w:rPr>
        <w:t xml:space="preserve">A script (scripts/generate_sample_data.py) generates three synthetic CSV files — GMT format, CodeCarbon format, and proxy metrics — to enable full dashboard demonstration and testing without requiring external API access or live data.</w:t>
      </w:r>
    </w:p>
    <w:p>
      <w:pPr>
        <w:spacing w:after="60" w:before="60"/>
      </w:pPr>
      <w:r>
        <w:t xml:space="preserve"/>
      </w:r>
    </w:p>
    <w:p>
      <w:pPr>
        <w:pStyle w:val="Heading1"/>
        <w:pBdr>
          <w:bottom w:val="single" w:color="2E75B6" w:sz="6" w:space="1"/>
        </w:pBdr>
        <w:spacing w:after="160" w:before="340"/>
      </w:pPr>
      <w:r>
        <w:rPr>
          <w:rFonts w:ascii="Arial" w:cs="Arial" w:eastAsia="Arial" w:hAnsi="Arial"/>
          <w:b/>
          <w:bCs/>
          <w:color w:val="1F3864"/>
          <w:sz w:val="28"/>
          <w:szCs w:val="28"/>
        </w:rPr>
        <w:t xml:space="preserve">6.  Methodology</w:t>
      </w:r>
    </w:p>
    <w:p>
      <w:pPr>
        <w:pStyle w:val="Heading2"/>
        <w:spacing w:after="100" w:before="220"/>
      </w:pPr>
      <w:r>
        <w:rPr>
          <w:rFonts w:ascii="Arial" w:cs="Arial" w:eastAsia="Arial" w:hAnsi="Arial"/>
          <w:b/>
          <w:bCs/>
          <w:color w:val="2E75B6"/>
          <w:sz w:val="24"/>
          <w:szCs w:val="24"/>
        </w:rPr>
        <w:t xml:space="preserve">6.1  Research Design</w:t>
      </w:r>
    </w:p>
    <w:p>
      <w:pPr>
        <w:spacing w:after="60" w:before="60"/>
        <w:jc w:val="both"/>
      </w:pPr>
      <w:r>
        <w:rPr>
          <w:rFonts w:ascii="Arial" w:cs="Arial" w:eastAsia="Arial" w:hAnsi="Arial"/>
          <w:color w:val="333333"/>
          <w:sz w:val="22"/>
          <w:szCs w:val="22"/>
        </w:rPr>
        <w:t xml:space="preserve">This project follows a Design Science Research (DSR) methodology, in which the primary output is a functional artefact (the GSEA Dashboard) evaluated against defined criteria. DSR is appropriate for applied computing research where the goal is to solve a real-world problem through the construction and evaluation of a novel system. The research proceeds through three DSR phases: (1) Problem Identification, (2) Artefact Design and Development, (3) Evaluation.</w:t>
      </w:r>
    </w:p>
    <w:p>
      <w:pPr>
        <w:spacing w:after="60" w:before="60"/>
      </w:pPr>
      <w:r>
        <w:t xml:space="preserve"/>
      </w:r>
    </w:p>
    <w:p>
      <w:pPr>
        <w:pStyle w:val="Heading2"/>
        <w:spacing w:after="100" w:before="220"/>
      </w:pPr>
      <w:r>
        <w:rPr>
          <w:rFonts w:ascii="Arial" w:cs="Arial" w:eastAsia="Arial" w:hAnsi="Arial"/>
          <w:b/>
          <w:bCs/>
          <w:color w:val="2E75B6"/>
          <w:sz w:val="24"/>
          <w:szCs w:val="24"/>
        </w:rPr>
        <w:t xml:space="preserve">6.2  Development Approach</w:t>
      </w:r>
    </w:p>
    <w:p>
      <w:pPr>
        <w:spacing w:after="60" w:before="60"/>
        <w:jc w:val="both"/>
      </w:pPr>
      <w:r>
        <w:rPr>
          <w:rFonts w:ascii="Arial" w:cs="Arial" w:eastAsia="Arial" w:hAnsi="Arial"/>
          <w:color w:val="333333"/>
          <w:sz w:val="22"/>
          <w:szCs w:val="22"/>
        </w:rPr>
        <w:t xml:space="preserve">Development follows an Agile iterative methodology with four two-week sprints, each producing a testable and demonstrable increment. User stories are prioritised using the MoSCoW method. Version control is managed via Git with a private GitHub repository.</w:t>
      </w:r>
    </w:p>
    <w:p>
      <w:pPr>
        <w:spacing w:after="60" w:before="60"/>
      </w:pPr>
      <w:r>
        <w:t xml:space="preserve"/>
      </w:r>
    </w:p>
    <w:p>
      <w:pPr>
        <w:pStyle w:val="Heading2"/>
        <w:spacing w:after="100" w:before="220"/>
      </w:pPr>
      <w:r>
        <w:rPr>
          <w:rFonts w:ascii="Arial" w:cs="Arial" w:eastAsia="Arial" w:hAnsi="Arial"/>
          <w:b/>
          <w:bCs/>
          <w:color w:val="2E75B6"/>
          <w:sz w:val="24"/>
          <w:szCs w:val="24"/>
        </w:rPr>
        <w:t xml:space="preserve">6.3  System Architecture</w:t>
      </w:r>
    </w:p>
    <w:p>
      <w:pPr>
        <w:pStyle w:val="ListParagraph"/>
        <w:numPr>
          <w:ilvl w:val="0"/>
          <w:numId w:val="2"/>
        </w:numPr>
        <w:spacing w:after="40" w:before="40"/>
      </w:pPr>
      <w:r>
        <w:rPr>
          <w:rFonts w:ascii="Arial" w:cs="Arial" w:eastAsia="Arial" w:hAnsi="Arial"/>
          <w:b/>
          <w:bCs/>
          <w:color w:val="333333"/>
          <w:sz w:val="22"/>
          <w:szCs w:val="22"/>
        </w:rPr>
        <w:t xml:space="preserve">Frontend: </w:t>
      </w:r>
      <w:r>
        <w:rPr>
          <w:rFonts w:ascii="Arial" w:cs="Arial" w:eastAsia="Arial" w:hAnsi="Arial"/>
          <w:b w:val="false"/>
          <w:bCs w:val="false"/>
          <w:color w:val="333333"/>
          <w:sz w:val="22"/>
          <w:szCs w:val="22"/>
        </w:rPr>
        <w:t xml:space="preserve">Streamlit multi-page application. Entry point app.py routes to 9 page modules in frontend/pages/.</w:t>
      </w:r>
    </w:p>
    <w:p>
      <w:pPr>
        <w:pStyle w:val="ListParagraph"/>
        <w:numPr>
          <w:ilvl w:val="0"/>
          <w:numId w:val="2"/>
        </w:numPr>
        <w:spacing w:after="40" w:before="40"/>
      </w:pPr>
      <w:r>
        <w:rPr>
          <w:rFonts w:ascii="Arial" w:cs="Arial" w:eastAsia="Arial" w:hAnsi="Arial"/>
          <w:b/>
          <w:bCs/>
          <w:color w:val="333333"/>
          <w:sz w:val="22"/>
          <w:szCs w:val="22"/>
        </w:rPr>
        <w:t xml:space="preserve">Backend: </w:t>
      </w:r>
      <w:r>
        <w:rPr>
          <w:rFonts w:ascii="Arial" w:cs="Arial" w:eastAsia="Arial" w:hAnsi="Arial"/>
          <w:b w:val="false"/>
          <w:bCs w:val="false"/>
          <w:color w:val="333333"/>
          <w:sz w:val="22"/>
          <w:szCs w:val="22"/>
        </w:rPr>
        <w:t xml:space="preserve">FastAPI microservice layer providing REST endpoints for data persistence (SQLAlchemy + aiosqlite).</w:t>
      </w:r>
    </w:p>
    <w:p>
      <w:pPr>
        <w:pStyle w:val="ListParagraph"/>
        <w:numPr>
          <w:ilvl w:val="0"/>
          <w:numId w:val="2"/>
        </w:numPr>
        <w:spacing w:after="40" w:before="40"/>
      </w:pPr>
      <w:r>
        <w:rPr>
          <w:rFonts w:ascii="Arial" w:cs="Arial" w:eastAsia="Arial" w:hAnsi="Arial"/>
          <w:b/>
          <w:bCs/>
          <w:color w:val="333333"/>
          <w:sz w:val="22"/>
          <w:szCs w:val="22"/>
        </w:rPr>
        <w:t xml:space="preserve">NLP Pipeline: </w:t>
      </w:r>
      <w:r>
        <w:rPr>
          <w:rFonts w:ascii="Arial" w:cs="Arial" w:eastAsia="Arial" w:hAnsi="Arial"/>
          <w:b w:val="false"/>
          <w:bCs w:val="false"/>
          <w:color w:val="333333"/>
          <w:sz w:val="22"/>
          <w:szCs w:val="22"/>
        </w:rPr>
        <w:t xml:space="preserve">spaCy en_core_web_sm with custom NER rules and pattern matching. Hugging Face Transformers available locally for classification tasks (excluded from cloud deployment due to size constraints).</w:t>
      </w:r>
    </w:p>
    <w:p>
      <w:pPr>
        <w:pStyle w:val="ListParagraph"/>
        <w:numPr>
          <w:ilvl w:val="0"/>
          <w:numId w:val="2"/>
        </w:numPr>
        <w:spacing w:after="40" w:before="40"/>
      </w:pPr>
      <w:r>
        <w:rPr>
          <w:rFonts w:ascii="Arial" w:cs="Arial" w:eastAsia="Arial" w:hAnsi="Arial"/>
          <w:b/>
          <w:bCs/>
          <w:color w:val="333333"/>
          <w:sz w:val="22"/>
          <w:szCs w:val="22"/>
        </w:rPr>
        <w:t xml:space="preserve">Data Layer: </w:t>
      </w:r>
      <w:r>
        <w:rPr>
          <w:rFonts w:ascii="Arial" w:cs="Arial" w:eastAsia="Arial" w:hAnsi="Arial"/>
          <w:b w:val="false"/>
          <w:bCs w:val="false"/>
          <w:color w:val="333333"/>
          <w:sz w:val="22"/>
          <w:szCs w:val="22"/>
        </w:rPr>
        <w:t xml:space="preserve">Pandas/NumPy for in-memory data processing; CSV/JSON for export; openpyxl for Excel ingestion.</w:t>
      </w:r>
    </w:p>
    <w:p>
      <w:pPr>
        <w:pStyle w:val="ListParagraph"/>
        <w:numPr>
          <w:ilvl w:val="0"/>
          <w:numId w:val="2"/>
        </w:numPr>
        <w:spacing w:after="40" w:before="40"/>
      </w:pPr>
      <w:r>
        <w:rPr>
          <w:rFonts w:ascii="Arial" w:cs="Arial" w:eastAsia="Arial" w:hAnsi="Arial"/>
          <w:b/>
          <w:bCs/>
          <w:color w:val="333333"/>
          <w:sz w:val="22"/>
          <w:szCs w:val="22"/>
        </w:rPr>
        <w:t xml:space="preserve">Visualisation: </w:t>
      </w:r>
      <w:r>
        <w:rPr>
          <w:rFonts w:ascii="Arial" w:cs="Arial" w:eastAsia="Arial" w:hAnsi="Arial"/>
          <w:b w:val="false"/>
          <w:bCs w:val="false"/>
          <w:color w:val="333333"/>
          <w:sz w:val="22"/>
          <w:szCs w:val="22"/>
        </w:rPr>
        <w:t xml:space="preserve">Plotly for all interactive charts — SCI trend line, carbon donut chart, energy time-series, geographic carbon map.</w:t>
      </w:r>
    </w:p>
    <w:p>
      <w:pPr>
        <w:pStyle w:val="ListParagraph"/>
        <w:numPr>
          <w:ilvl w:val="0"/>
          <w:numId w:val="2"/>
        </w:numPr>
        <w:spacing w:after="40" w:before="40"/>
      </w:pPr>
      <w:r>
        <w:rPr>
          <w:rFonts w:ascii="Arial" w:cs="Arial" w:eastAsia="Arial" w:hAnsi="Arial"/>
          <w:b/>
          <w:bCs/>
          <w:color w:val="333333"/>
          <w:sz w:val="22"/>
          <w:szCs w:val="22"/>
        </w:rPr>
        <w:t xml:space="preserve">Configuration: </w:t>
      </w:r>
      <w:r>
        <w:rPr>
          <w:rFonts w:ascii="Arial" w:cs="Arial" w:eastAsia="Arial" w:hAnsi="Arial"/>
          <w:b w:val="false"/>
          <w:bCs w:val="false"/>
          <w:color w:val="333333"/>
          <w:sz w:val="22"/>
          <w:szCs w:val="22"/>
        </w:rPr>
        <w:t xml:space="preserve">python-dotenv and Streamlit secrets for API key management; pydantic-settings for environment validation.</w:t>
      </w:r>
    </w:p>
    <w:p>
      <w:pPr>
        <w:spacing w:after="60" w:before="60"/>
      </w:pPr>
      <w:r>
        <w:t xml:space="preserve"/>
      </w:r>
    </w:p>
    <w:p>
      <w:pPr>
        <w:pStyle w:val="Heading2"/>
        <w:spacing w:after="100" w:before="220"/>
      </w:pPr>
      <w:r>
        <w:rPr>
          <w:rFonts w:ascii="Arial" w:cs="Arial" w:eastAsia="Arial" w:hAnsi="Arial"/>
          <w:b/>
          <w:bCs/>
          <w:color w:val="2E75B6"/>
          <w:sz w:val="24"/>
          <w:szCs w:val="24"/>
        </w:rPr>
        <w:t xml:space="preserve">6.4  NLP Pipeline — Detail</w:t>
      </w:r>
    </w:p>
    <w:p>
      <w:pPr>
        <w:spacing w:after="60" w:before="60"/>
        <w:jc w:val="both"/>
      </w:pPr>
      <w:r>
        <w:rPr>
          <w:rFonts w:ascii="Arial" w:cs="Arial" w:eastAsia="Arial" w:hAnsi="Arial"/>
          <w:color w:val="333333"/>
          <w:sz w:val="22"/>
          <w:szCs w:val="22"/>
        </w:rPr>
        <w:t xml:space="preserve">The NLP extraction module operates as follows:</w:t>
      </w:r>
    </w:p>
    <w:p>
      <w:pPr>
        <w:pStyle w:val="ListParagraph"/>
        <w:numPr>
          <w:ilvl w:val="0"/>
          <w:numId w:val="2"/>
        </w:numPr>
        <w:spacing w:after="40" w:before="40"/>
      </w:pPr>
      <w:r>
        <w:rPr>
          <w:rFonts w:ascii="Arial" w:cs="Arial" w:eastAsia="Arial" w:hAnsi="Arial"/>
          <w:color w:val="333333"/>
          <w:sz w:val="22"/>
          <w:szCs w:val="22"/>
        </w:rPr>
        <w:t xml:space="preserve">Step 1 — Fetch: Query dev.to API for articles matching GSE tags; paginate to collect up to 1,000 articles; cache responses locally to avoid repeated API calls.</w:t>
      </w:r>
    </w:p>
    <w:p>
      <w:pPr>
        <w:pStyle w:val="ListParagraph"/>
        <w:numPr>
          <w:ilvl w:val="0"/>
          <w:numId w:val="2"/>
        </w:numPr>
        <w:spacing w:after="40" w:before="40"/>
      </w:pPr>
      <w:r>
        <w:rPr>
          <w:rFonts w:ascii="Arial" w:cs="Arial" w:eastAsia="Arial" w:hAnsi="Arial"/>
          <w:color w:val="333333"/>
          <w:sz w:val="22"/>
          <w:szCs w:val="22"/>
        </w:rPr>
        <w:t xml:space="preserve">Step 2 — Pre-process: Tokenise, sentence-segment, and remove boilerplate HTML using spaCy. Strip markdown formatting from body_markdown fields.</w:t>
      </w:r>
    </w:p>
    <w:p>
      <w:pPr>
        <w:pStyle w:val="ListParagraph"/>
        <w:numPr>
          <w:ilvl w:val="0"/>
          <w:numId w:val="2"/>
        </w:numPr>
        <w:spacing w:after="40" w:before="40"/>
      </w:pPr>
      <w:r>
        <w:rPr>
          <w:rFonts w:ascii="Arial" w:cs="Arial" w:eastAsia="Arial" w:hAnsi="Arial"/>
          <w:color w:val="333333"/>
          <w:sz w:val="22"/>
          <w:szCs w:val="22"/>
        </w:rPr>
        <w:t xml:space="preserve">Step 3 — Entity Extraction: Apply custom NER patterns to identify: (a) energy measurement values (e.g. '12.4 kWh', '0.003 gCO₂'), (b) carbon metrics and SCI components, (c) tool mentions (CodeCarbon, Green Metrics Tool, Electricity Maps), (d) GSE practices (carbon-aware computing, demand shaping, hardware efficiency).</w:t>
      </w:r>
    </w:p>
    <w:p>
      <w:pPr>
        <w:pStyle w:val="ListParagraph"/>
        <w:numPr>
          <w:ilvl w:val="0"/>
          <w:numId w:val="2"/>
        </w:numPr>
        <w:spacing w:after="40" w:before="40"/>
      </w:pPr>
      <w:r>
        <w:rPr>
          <w:rFonts w:ascii="Arial" w:cs="Arial" w:eastAsia="Arial" w:hAnsi="Arial"/>
          <w:color w:val="333333"/>
          <w:sz w:val="22"/>
          <w:szCs w:val="22"/>
        </w:rPr>
        <w:t xml:space="preserve">Step 4 — Scoring: Assign a GSE adoption score per article based on entity density and practice mention frequency.</w:t>
      </w:r>
    </w:p>
    <w:p>
      <w:pPr>
        <w:pStyle w:val="ListParagraph"/>
        <w:numPr>
          <w:ilvl w:val="0"/>
          <w:numId w:val="2"/>
        </w:numPr>
        <w:spacing w:after="40" w:before="40"/>
      </w:pPr>
      <w:r>
        <w:rPr>
          <w:rFonts w:ascii="Arial" w:cs="Arial" w:eastAsia="Arial" w:hAnsi="Arial"/>
          <w:color w:val="333333"/>
          <w:sz w:val="22"/>
          <w:szCs w:val="22"/>
        </w:rPr>
        <w:t xml:space="preserve">Step 5 — Output: Structured JSON records {title, url, published_date, extracted_entities[], gse_score, tags[]} displayed in the NLP Extraction page with entity highlighting and CSV/JSON export.</w:t>
      </w:r>
    </w:p>
    <w:p>
      <w:pPr>
        <w:spacing w:after="60" w:before="60"/>
      </w:pPr>
      <w:r>
        <w:t xml:space="preserve"/>
      </w:r>
    </w:p>
    <w:p>
      <w:pPr>
        <w:pStyle w:val="Heading1"/>
        <w:pBdr>
          <w:bottom w:val="single" w:color="2E75B6" w:sz="6" w:space="1"/>
        </w:pBdr>
        <w:spacing w:after="160" w:before="340"/>
      </w:pPr>
      <w:r>
        <w:rPr>
          <w:rFonts w:ascii="Arial" w:cs="Arial" w:eastAsia="Arial" w:hAnsi="Arial"/>
          <w:b/>
          <w:bCs/>
          <w:color w:val="1F3864"/>
          <w:sz w:val="28"/>
          <w:szCs w:val="28"/>
        </w:rPr>
        <w:t xml:space="preserve">7.  Evaluation Plan</w:t>
      </w:r>
    </w:p>
    <w:p>
      <w:pPr>
        <w:spacing w:after="60" w:before="60"/>
        <w:jc w:val="both"/>
      </w:pPr>
      <w:r>
        <w:rPr>
          <w:rFonts w:ascii="Arial" w:cs="Arial" w:eastAsia="Arial" w:hAnsi="Arial"/>
          <w:color w:val="333333"/>
          <w:sz w:val="22"/>
          <w:szCs w:val="22"/>
        </w:rPr>
        <w:t xml:space="preserve">The evaluation plan directly addresses the supervisor's feedback regarding a 'feasible evaluation plan'. Four distinct evaluation streams are defined:</w:t>
      </w:r>
    </w:p>
    <w:p>
      <w:pPr>
        <w:spacing w:after="60" w:before="60"/>
      </w:pPr>
      <w:r>
        <w:t xml:space="preserve"/>
      </w:r>
    </w:p>
    <w:p>
      <w:pPr>
        <w:pStyle w:val="Heading2"/>
        <w:spacing w:after="100" w:before="220"/>
      </w:pPr>
      <w:r>
        <w:rPr>
          <w:rFonts w:ascii="Arial" w:cs="Arial" w:eastAsia="Arial" w:hAnsi="Arial"/>
          <w:b/>
          <w:bCs/>
          <w:color w:val="2E75B6"/>
          <w:sz w:val="24"/>
          <w:szCs w:val="24"/>
        </w:rPr>
        <w:t xml:space="preserve">7.1  NLP Pipeline Evaluation — Objective O1</w:t>
      </w:r>
    </w:p>
    <w:p>
      <w:pPr>
        <w:pStyle w:val="ListParagraph"/>
        <w:numPr>
          <w:ilvl w:val="0"/>
          <w:numId w:val="2"/>
        </w:numPr>
        <w:spacing w:after="40" w:before="40"/>
      </w:pPr>
      <w:r>
        <w:rPr>
          <w:rFonts w:ascii="Arial" w:cs="Arial" w:eastAsia="Arial" w:hAnsi="Arial"/>
          <w:color w:val="333333"/>
          <w:sz w:val="22"/>
          <w:szCs w:val="22"/>
        </w:rPr>
        <w:t xml:space="preserve">Ground-truth dataset: 50 dev.to articles manually annotated by 2 independent annotators (the student and one MSc peer). Inter-annotator agreement measured using Cohen's Kappa (κ ≥ 0.7 required before proceeding).</w:t>
      </w:r>
    </w:p>
    <w:p>
      <w:pPr>
        <w:pStyle w:val="ListParagraph"/>
        <w:numPr>
          <w:ilvl w:val="0"/>
          <w:numId w:val="2"/>
        </w:numPr>
        <w:spacing w:after="40" w:before="40"/>
      </w:pPr>
      <w:r>
        <w:rPr>
          <w:rFonts w:ascii="Arial" w:cs="Arial" w:eastAsia="Arial" w:hAnsi="Arial"/>
          <w:color w:val="333333"/>
          <w:sz w:val="22"/>
          <w:szCs w:val="22"/>
        </w:rPr>
        <w:t xml:space="preserve">Metrics: Precision, Recall, and F1-score computed per entity class (energy values, carbon metrics, tool names, GSE practices) and macro-averaged.</w:t>
      </w:r>
    </w:p>
    <w:p>
      <w:pPr>
        <w:pStyle w:val="ListParagraph"/>
        <w:numPr>
          <w:ilvl w:val="0"/>
          <w:numId w:val="2"/>
        </w:numPr>
        <w:spacing w:after="40" w:before="40"/>
      </w:pPr>
      <w:r>
        <w:rPr>
          <w:rFonts w:ascii="Arial" w:cs="Arial" w:eastAsia="Arial" w:hAnsi="Arial"/>
          <w:color w:val="333333"/>
          <w:sz w:val="22"/>
          <w:szCs w:val="22"/>
        </w:rPr>
        <w:t xml:space="preserve">Baseline: Compare spaCy rule-based pipeline against a simple keyword-matching baseline to demonstrate added value of NLP approach.</w:t>
      </w:r>
    </w:p>
    <w:p>
      <w:pPr>
        <w:pStyle w:val="ListParagraph"/>
        <w:numPr>
          <w:ilvl w:val="0"/>
          <w:numId w:val="2"/>
        </w:numPr>
        <w:spacing w:after="40" w:before="40"/>
      </w:pPr>
      <w:r>
        <w:rPr>
          <w:rFonts w:ascii="Arial" w:cs="Arial" w:eastAsia="Arial" w:hAnsi="Arial"/>
          <w:color w:val="333333"/>
          <w:sz w:val="22"/>
          <w:szCs w:val="22"/>
        </w:rPr>
        <w:t xml:space="preserve">Target: Precision ≥ 0.75, Recall ≥ 0.70, F1 ≥ 0.72.</w:t>
      </w:r>
    </w:p>
    <w:p>
      <w:pPr>
        <w:spacing w:after="60" w:before="60"/>
      </w:pPr>
      <w:r>
        <w:t xml:space="preserve"/>
      </w:r>
    </w:p>
    <w:p>
      <w:pPr>
        <w:pStyle w:val="Heading2"/>
        <w:spacing w:after="100" w:before="220"/>
      </w:pPr>
      <w:r>
        <w:rPr>
          <w:rFonts w:ascii="Arial" w:cs="Arial" w:eastAsia="Arial" w:hAnsi="Arial"/>
          <w:b/>
          <w:bCs/>
          <w:color w:val="2E75B6"/>
          <w:sz w:val="24"/>
          <w:szCs w:val="24"/>
        </w:rPr>
        <w:t xml:space="preserve">7.2  SCI Accuracy Evaluation — Objective O2</w:t>
      </w:r>
    </w:p>
    <w:p>
      <w:pPr>
        <w:pStyle w:val="ListParagraph"/>
        <w:numPr>
          <w:ilvl w:val="0"/>
          <w:numId w:val="2"/>
        </w:numPr>
        <w:spacing w:after="40" w:before="40"/>
      </w:pPr>
      <w:r>
        <w:rPr>
          <w:rFonts w:ascii="Arial" w:cs="Arial" w:eastAsia="Arial" w:hAnsi="Arial"/>
          <w:color w:val="333333"/>
          <w:sz w:val="22"/>
          <w:szCs w:val="22"/>
        </w:rPr>
        <w:t xml:space="preserve">Instrument 3 Python reference scripts (a sorting algorithm, a web scraper, a matrix multiplication) with CodeCarbon to obtain ground-truth energy and emissions values.</w:t>
      </w:r>
    </w:p>
    <w:p>
      <w:pPr>
        <w:pStyle w:val="ListParagraph"/>
        <w:numPr>
          <w:ilvl w:val="0"/>
          <w:numId w:val="2"/>
        </w:numPr>
        <w:spacing w:after="40" w:before="40"/>
      </w:pPr>
      <w:r>
        <w:rPr>
          <w:rFonts w:ascii="Arial" w:cs="Arial" w:eastAsia="Arial" w:hAnsi="Arial"/>
          <w:color w:val="333333"/>
          <w:sz w:val="22"/>
          <w:szCs w:val="22"/>
        </w:rPr>
        <w:t xml:space="preserve">Input CodeCarbon CSV outputs into the GSEA SCI Calculator and compare computed SCI scores against manually computed expected values.</w:t>
      </w:r>
    </w:p>
    <w:p>
      <w:pPr>
        <w:pStyle w:val="ListParagraph"/>
        <w:numPr>
          <w:ilvl w:val="0"/>
          <w:numId w:val="2"/>
        </w:numPr>
        <w:spacing w:after="40" w:before="40"/>
      </w:pPr>
      <w:r>
        <w:rPr>
          <w:rFonts w:ascii="Arial" w:cs="Arial" w:eastAsia="Arial" w:hAnsi="Arial"/>
          <w:color w:val="333333"/>
          <w:sz w:val="22"/>
          <w:szCs w:val="22"/>
        </w:rPr>
        <w:t xml:space="preserve">Acceptance criterion: All computed SCI values within ±5% of expected values.</w:t>
      </w:r>
    </w:p>
    <w:p>
      <w:pPr>
        <w:spacing w:after="60" w:before="60"/>
      </w:pPr>
      <w:r>
        <w:t xml:space="preserve"/>
      </w:r>
    </w:p>
    <w:p>
      <w:pPr>
        <w:pStyle w:val="Heading2"/>
        <w:spacing w:after="100" w:before="220"/>
      </w:pPr>
      <w:r>
        <w:rPr>
          <w:rFonts w:ascii="Arial" w:cs="Arial" w:eastAsia="Arial" w:hAnsi="Arial"/>
          <w:b/>
          <w:bCs/>
          <w:color w:val="2E75B6"/>
          <w:sz w:val="24"/>
          <w:szCs w:val="24"/>
        </w:rPr>
        <w:t xml:space="preserve">7.3  Usability Evaluation — Objective O5</w:t>
      </w:r>
    </w:p>
    <w:p>
      <w:pPr>
        <w:pStyle w:val="ListParagraph"/>
        <w:numPr>
          <w:ilvl w:val="0"/>
          <w:numId w:val="2"/>
        </w:numPr>
        <w:spacing w:after="40" w:before="40"/>
      </w:pPr>
      <w:r>
        <w:rPr>
          <w:rFonts w:ascii="Arial" w:cs="Arial" w:eastAsia="Arial" w:hAnsi="Arial"/>
          <w:color w:val="333333"/>
          <w:sz w:val="22"/>
          <w:szCs w:val="22"/>
        </w:rPr>
        <w:t xml:space="preserve">Participants: 3–5 volunteers recruited from the MMU MSc Computer Science cohort and/or software developer community. Minimum of 3 justified by Nielsen (2000).</w:t>
      </w:r>
    </w:p>
    <w:p>
      <w:pPr>
        <w:pStyle w:val="ListParagraph"/>
        <w:numPr>
          <w:ilvl w:val="0"/>
          <w:numId w:val="2"/>
        </w:numPr>
        <w:spacing w:after="40" w:before="40"/>
      </w:pPr>
      <w:r>
        <w:rPr>
          <w:rFonts w:ascii="Arial" w:cs="Arial" w:eastAsia="Arial" w:hAnsi="Arial"/>
          <w:color w:val="333333"/>
          <w:sz w:val="22"/>
          <w:szCs w:val="22"/>
        </w:rPr>
        <w:t xml:space="preserve">Protocol: Remote think-aloud sessions (approximately 30 minutes each). Participants complete 4 standardised tasks: (T1) upload a GMT CSV dataset, (T2) calculate an SCI score manually, (T3) view the carbon map for a selected region, (T4) export a session report as CSV.</w:t>
      </w:r>
    </w:p>
    <w:p>
      <w:pPr>
        <w:pStyle w:val="ListParagraph"/>
        <w:numPr>
          <w:ilvl w:val="0"/>
          <w:numId w:val="2"/>
        </w:numPr>
        <w:spacing w:after="40" w:before="40"/>
      </w:pPr>
      <w:r>
        <w:rPr>
          <w:rFonts w:ascii="Arial" w:cs="Arial" w:eastAsia="Arial" w:hAnsi="Arial"/>
          <w:color w:val="333333"/>
          <w:sz w:val="22"/>
          <w:szCs w:val="22"/>
        </w:rPr>
        <w:t xml:space="preserve">Instrument: System Usability Scale (SUS) — 10-item Likert questionnaire administered post-session.</w:t>
      </w:r>
    </w:p>
    <w:p>
      <w:pPr>
        <w:pStyle w:val="ListParagraph"/>
        <w:numPr>
          <w:ilvl w:val="0"/>
          <w:numId w:val="2"/>
        </w:numPr>
        <w:spacing w:after="40" w:before="40"/>
      </w:pPr>
      <w:r>
        <w:rPr>
          <w:rFonts w:ascii="Arial" w:cs="Arial" w:eastAsia="Arial" w:hAnsi="Arial"/>
          <w:color w:val="333333"/>
          <w:sz w:val="22"/>
          <w:szCs w:val="22"/>
        </w:rPr>
        <w:t xml:space="preserve">Analysis: Mean SUS score, per-task completion rate, and qualitative themes from think-aloud transcripts.</w:t>
      </w:r>
    </w:p>
    <w:p>
      <w:pPr>
        <w:pStyle w:val="ListParagraph"/>
        <w:numPr>
          <w:ilvl w:val="0"/>
          <w:numId w:val="2"/>
        </w:numPr>
        <w:spacing w:after="40" w:before="40"/>
      </w:pPr>
      <w:r>
        <w:rPr>
          <w:rFonts w:ascii="Arial" w:cs="Arial" w:eastAsia="Arial" w:hAnsi="Arial"/>
          <w:color w:val="333333"/>
          <w:sz w:val="22"/>
          <w:szCs w:val="22"/>
        </w:rPr>
        <w:t xml:space="preserve">Target: Mean SUS ≥ 68 (above-average usability per Bangor et al., 2009).</w:t>
      </w:r>
    </w:p>
    <w:p>
      <w:pPr>
        <w:spacing w:after="60" w:before="60"/>
      </w:pPr>
      <w:r>
        <w:t xml:space="preserve"/>
      </w:r>
    </w:p>
    <w:p>
      <w:pPr>
        <w:pStyle w:val="Heading2"/>
        <w:spacing w:after="100" w:before="220"/>
      </w:pPr>
      <w:r>
        <w:rPr>
          <w:rFonts w:ascii="Arial" w:cs="Arial" w:eastAsia="Arial" w:hAnsi="Arial"/>
          <w:b/>
          <w:bCs/>
          <w:color w:val="2E75B6"/>
          <w:sz w:val="24"/>
          <w:szCs w:val="24"/>
        </w:rPr>
        <w:t xml:space="preserve">7.4  Functional &amp; Integration Testing — Objectives O3, O4, O6</w:t>
      </w:r>
    </w:p>
    <w:p>
      <w:pPr>
        <w:pStyle w:val="ListParagraph"/>
        <w:numPr>
          <w:ilvl w:val="0"/>
          <w:numId w:val="2"/>
        </w:numPr>
        <w:spacing w:after="40" w:before="40"/>
      </w:pPr>
      <w:r>
        <w:rPr>
          <w:rFonts w:ascii="Arial" w:cs="Arial" w:eastAsia="Arial" w:hAnsi="Arial"/>
          <w:color w:val="333333"/>
          <w:sz w:val="22"/>
          <w:szCs w:val="22"/>
        </w:rPr>
        <w:t xml:space="preserve">Unit tests for SCI calculation logic across edge cases (pytest, target ≥ 85% code coverage).</w:t>
      </w:r>
    </w:p>
    <w:p>
      <w:pPr>
        <w:pStyle w:val="ListParagraph"/>
        <w:numPr>
          <w:ilvl w:val="0"/>
          <w:numId w:val="2"/>
        </w:numPr>
        <w:spacing w:after="40" w:before="40"/>
      </w:pPr>
      <w:r>
        <w:rPr>
          <w:rFonts w:ascii="Arial" w:cs="Arial" w:eastAsia="Arial" w:hAnsi="Arial"/>
          <w:color w:val="333333"/>
          <w:sz w:val="22"/>
          <w:szCs w:val="22"/>
        </w:rPr>
        <w:t xml:space="preserve">Integration tests for Data Ingestion pipeline: verify correct parsing of all three CSV formats (GMT, CodeCarbon, synthetic sample).</w:t>
      </w:r>
    </w:p>
    <w:p>
      <w:pPr>
        <w:pStyle w:val="ListParagraph"/>
        <w:numPr>
          <w:ilvl w:val="0"/>
          <w:numId w:val="2"/>
        </w:numPr>
        <w:spacing w:after="40" w:before="40"/>
      </w:pPr>
      <w:r>
        <w:rPr>
          <w:rFonts w:ascii="Arial" w:cs="Arial" w:eastAsia="Arial" w:hAnsi="Arial"/>
          <w:color w:val="333333"/>
          <w:sz w:val="22"/>
          <w:szCs w:val="22"/>
        </w:rPr>
        <w:t xml:space="preserve">End-to-end smoke tests for all 9 dashboard modules to confirm no import errors or rendering failures.</w:t>
      </w:r>
    </w:p>
    <w:p>
      <w:pPr>
        <w:pStyle w:val="ListParagraph"/>
        <w:numPr>
          <w:ilvl w:val="0"/>
          <w:numId w:val="2"/>
        </w:numPr>
        <w:spacing w:after="40" w:before="40"/>
      </w:pPr>
      <w:r>
        <w:rPr>
          <w:rFonts w:ascii="Arial" w:cs="Arial" w:eastAsia="Arial" w:hAnsi="Arial"/>
          <w:color w:val="333333"/>
          <w:sz w:val="22"/>
          <w:szCs w:val="22"/>
        </w:rPr>
        <w:t xml:space="preserve">API integration tests: verify Electricity Maps API connection and graceful fallback to static lookup table.</w:t>
      </w:r>
    </w:p>
    <w:p>
      <w:pPr>
        <w:spacing w:after="60" w:before="60"/>
      </w:pPr>
      <w:r>
        <w:t xml:space="preserve"/>
      </w:r>
    </w:p>
    <w:p>
      <w:pPr>
        <w:pStyle w:val="Heading1"/>
        <w:pBdr>
          <w:bottom w:val="single" w:color="2E75B6" w:sz="6" w:space="1"/>
        </w:pBdr>
        <w:spacing w:after="160" w:before="340"/>
      </w:pPr>
      <w:r>
        <w:rPr>
          <w:rFonts w:ascii="Arial" w:cs="Arial" w:eastAsia="Arial" w:hAnsi="Arial"/>
          <w:b/>
          <w:bCs/>
          <w:color w:val="1F3864"/>
          <w:sz w:val="28"/>
          <w:szCs w:val="28"/>
        </w:rPr>
        <w:t xml:space="preserve">8.  Project Timeline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4426"/>
        <w:gridCol w:w="1500"/>
      </w:tblGrid>
      <w:t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4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Activities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2E75B6"/>
                <w:sz w:val="20"/>
                <w:szCs w:val="20"/>
              </w:rPr>
              <w:t xml:space="preserve">Phase 1
Foundation</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Weeks 1–2</w:t>
              <w:br/>
              <w:t>Jun–Jul 2026</w:t>
            </w:r>
          </w:p>
        </w:tc>
        <w:tc>
          <w:tcPr>
            <w:tcW w:type="dxa" w:w="44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Literature review (GSE, SCI, NLP for sustainability); finalise TOR; set up dev.to API data collection; define NLP entity schema; Git repository setup.</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Approved TOR; literature review notes; NLP entity schema document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Phase 2
NLP Build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Weeks 3–4</w:t>
              <w:br/>
              <w:t>Jul 2026</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Implement spaCy NLP pipeline; build and annotate 50-article ground-truth dataset; calculate inter-annotator agreement; NLP baseline comparison.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NLP pipeline v1; annotated dataset; precision/recall results</w:t>
            </w:r>
          </w:p>
        </w:tc>
      </w:tr>
      <w:tr>
        <w:tc>
          <w:tcPr>
            <w:tcW w:type="dxa" w:w="1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2E75B6"/>
                <w:sz w:val="20"/>
                <w:szCs w:val="20"/>
              </w:rPr>
              <w:t xml:space="preserve">Phase 3
Dashboard</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Weeks 5–6</w:t>
              <w:br/>
              <w:t>Aug 2026</w:t>
            </w:r>
          </w:p>
        </w:tc>
        <w:tc>
          <w:tcPr>
            <w:tcW w:type="dxa" w:w="44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 Data Ingestion, Energy Trend, Carbon Map, Proxy Metrics modules; CodeCarbon SCI validation tests; Electricity Maps API integration.</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Fully functional 9-module dashboard; SCI validation results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Phase 4
Evaluation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Weeks 7–8</w:t>
              <w:br/>
              <w:t>Aug–Sep 2026</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Recruit participants; run usability study (think-aloud + SUS); analyse results; fix usability issues; complete Reports &amp; Export module; full test suite.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Usability report; SUS scores; pytest coverage report</w:t>
            </w:r>
          </w:p>
        </w:tc>
      </w:tr>
      <w:tr>
        <w:tc>
          <w:tcPr>
            <w:tcW w:type="dxa" w:w="1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2E75B6"/>
                <w:sz w:val="20"/>
                <w:szCs w:val="20"/>
              </w:rPr>
              <w:t xml:space="preserve">Phase 5
Writing</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Weeks 9–10</w:t>
              <w:br/>
              <w:t>Sep–Oct 2026</w:t>
            </w:r>
          </w:p>
        </w:tc>
        <w:tc>
          <w:tcPr>
            <w:tcW w:type="dxa" w:w="44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Write dissertation chapters: Introduction, Literature Review, Methodology, System Design, Results, Discussion, Conclusion, References.</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dissertation draft submitted to supervisor</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Phase 6
Submission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Weeks 11–12
Oct–Nov 2025</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Incorporate supervisor feedback; final code cleanup; README and deployment documentation; final proofreading; submission.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Final dissertation + codebase submitted</w:t>
            </w:r>
          </w:p>
        </w:tc>
      </w:tr>
    </w:tbl>
    <w:p>
      <w:pPr>
        <w:spacing w:after="60" w:before="60"/>
      </w:pPr>
      <w:r>
        <w:t xml:space="preserve"/>
      </w:r>
    </w:p>
    <w:p>
      <w:pPr>
        <w:pStyle w:val="Heading1"/>
        <w:pBdr>
          <w:bottom w:val="single" w:color="2E75B6" w:sz="6" w:space="1"/>
        </w:pBdr>
        <w:spacing w:after="160" w:before="340"/>
      </w:pPr>
      <w:r>
        <w:rPr>
          <w:rFonts w:ascii="Arial" w:cs="Arial" w:eastAsia="Arial" w:hAnsi="Arial"/>
          <w:b/>
          <w:bCs/>
          <w:color w:val="1F3864"/>
          <w:sz w:val="28"/>
          <w:szCs w:val="28"/>
        </w:rPr>
        <w:t xml:space="preserve">9.  Risk Register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1200"/>
        <w:gridCol w:w="3726"/>
      </w:tblGrid>
      <w:tr>
        <w:tc>
          <w:tcPr>
            <w:tcW w:type="dxa" w:w="2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7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dev.to API rate limiting or downtime preventing data collection</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FB950"/>
                <w:sz w:val="20"/>
                <w:szCs w:val="20"/>
              </w:rPr>
              <w:t xml:space="preserve">Low</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37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Cache all API responses to local JSON files on first fetch. Pre-collected dataset of 200 articles stored as fallback. Rate limit: 10 req/s — requests throttled accordingly.</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NLP precision/recall below target threshold (F1 &lt; 0.72)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7000"/>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Iteratively expand spaCy rule patterns. Supplement with Hugging Face zero-shot classification (facebook/bart-large-mnli) for difficult cases. Adjust target with supervisor if justified.</w:t>
            </w:r>
          </w:p>
        </w:tc>
      </w:tr>
      <w:tr>
        <w:tc>
          <w:tcPr>
            <w:tcW w:type="dxa" w:w="2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Electricity Maps API free tier restrictions or key expiry</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C07000"/>
                <w:sz w:val="20"/>
                <w:szCs w:val="20"/>
              </w:rPr>
              <w:t xml:space="preserve">Medium</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FB950"/>
                <w:sz w:val="20"/>
                <w:szCs w:val="20"/>
              </w:rPr>
              <w:t xml:space="preserve">Low</w:t>
            </w:r>
          </w:p>
        </w:tc>
        <w:tc>
          <w:tcPr>
            <w:tcW w:type="dxa" w:w="37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Static fallback: IEA 2023 carbon intensity lookup table by country code stored in config. Carbon Map remains functional without live API.</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Insufficient usability study participants (&lt; 3 recruited)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7000"/>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7000"/>
                <w:sz w:val="20"/>
                <w:szCs w:val="20"/>
              </w:rPr>
              <w:t xml:space="preserve">Medium</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Recruit from MMU MSc cohort directly. Nielsen (2000) justifies minimum of 3 users. Supervisor and project colleagues can participate if necessary.</w:t>
            </w:r>
          </w:p>
        </w:tc>
      </w:tr>
      <w:tr>
        <w:tc>
          <w:tcPr>
            <w:tcW w:type="dxa" w:w="2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Scope creep from additional feature ideas</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37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MoSCoW prioritisation strictly enforced. All post-MVP features logged in GitHub Issues as 'Could Have' and deferred to Future Work chapter.</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spaCy model incompatibility with Python 3.14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FB950"/>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7000"/>
                <w:sz w:val="20"/>
                <w:szCs w:val="20"/>
              </w:rPr>
              <w:t xml:space="preserve">Medium</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Lock spaCy to &gt;=3.7.0 in requirements.txt. Test on Python 3.11 (stable) as primary environment. Virtual environment isolates all dependencies.</w:t>
            </w:r>
          </w:p>
        </w:tc>
      </w:tr>
      <w:tr>
        <w:tc>
          <w:tcPr>
            <w:tcW w:type="dxa" w:w="2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 lost due to academic or personal commitments</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C07000"/>
                <w:sz w:val="20"/>
                <w:szCs w:val="20"/>
              </w:rPr>
              <w:t xml:space="preserve">Medium</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C07000"/>
                <w:sz w:val="20"/>
                <w:szCs w:val="20"/>
              </w:rPr>
              <w:t xml:space="preserve">Medium</w:t>
            </w:r>
          </w:p>
        </w:tc>
        <w:tc>
          <w:tcPr>
            <w:tcW w:type="dxa" w:w="37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Two-week buffer built into timeline (Phases 5–6). Weekly supervisor meetings provide accountability. Minimum viable evaluation plan defined in case of delays.</w:t>
            </w:r>
          </w:p>
        </w:tc>
      </w:tr>
    </w:tbl>
    <w:p>
      <w:pPr>
        <w:spacing w:after="60" w:before="60"/>
      </w:pPr>
      <w:r>
        <w:t xml:space="preserve"/>
      </w:r>
    </w:p>
    <w:p>
      <w:pPr>
        <w:pStyle w:val="Heading1"/>
        <w:pBdr>
          <w:bottom w:val="single" w:color="2E75B6" w:sz="6" w:space="1"/>
        </w:pBdr>
        <w:spacing w:after="160" w:before="340"/>
      </w:pPr>
      <w:r>
        <w:rPr>
          <w:rFonts w:ascii="Arial" w:cs="Arial" w:eastAsia="Arial" w:hAnsi="Arial"/>
          <w:b/>
          <w:bCs/>
          <w:color w:val="1F3864"/>
          <w:sz w:val="28"/>
          <w:szCs w:val="28"/>
        </w:rPr>
        <w:t xml:space="preserve">10.  Ethical Considerations</w:t>
      </w:r>
    </w:p>
    <w:p>
      <w:pPr>
        <w:pStyle w:val="Heading2"/>
        <w:spacing w:after="100" w:before="220"/>
      </w:pPr>
      <w:r>
        <w:rPr>
          <w:rFonts w:ascii="Arial" w:cs="Arial" w:eastAsia="Arial" w:hAnsi="Arial"/>
          <w:b/>
          <w:bCs/>
          <w:color w:val="2E75B6"/>
          <w:sz w:val="24"/>
          <w:szCs w:val="24"/>
        </w:rPr>
        <w:t xml:space="preserve">10.1  Data Collection Ethics</w:t>
      </w:r>
    </w:p>
    <w:p>
      <w:pPr>
        <w:pStyle w:val="ListParagraph"/>
        <w:numPr>
          <w:ilvl w:val="0"/>
          <w:numId w:val="2"/>
        </w:numPr>
        <w:spacing w:after="40" w:before="40"/>
      </w:pPr>
      <w:r>
        <w:rPr>
          <w:rFonts w:ascii="Arial" w:cs="Arial" w:eastAsia="Arial" w:hAnsi="Arial"/>
          <w:color w:val="333333"/>
          <w:sz w:val="22"/>
          <w:szCs w:val="22"/>
        </w:rPr>
        <w:t xml:space="preserve">All data sourced from dev.to is publicly available under the Forem open-source licence. The API is openly documented and free to access. No scraping is performed — only the official REST API is used.</w:t>
      </w:r>
    </w:p>
    <w:p>
      <w:pPr>
        <w:pStyle w:val="ListParagraph"/>
        <w:numPr>
          <w:ilvl w:val="0"/>
          <w:numId w:val="2"/>
        </w:numPr>
        <w:spacing w:after="40" w:before="40"/>
      </w:pPr>
      <w:r>
        <w:rPr>
          <w:rFonts w:ascii="Arial" w:cs="Arial" w:eastAsia="Arial" w:hAnsi="Arial"/>
          <w:color w:val="333333"/>
          <w:sz w:val="22"/>
          <w:szCs w:val="22"/>
        </w:rPr>
        <w:t xml:space="preserve">Data collected is limited to publicly published article metadata: title, publication date, author username (public), article body, and tag list. No private or personally identifiable information (beyond public usernames) is collected or stored.</w:t>
      </w:r>
    </w:p>
    <w:p>
      <w:pPr>
        <w:pStyle w:val="ListParagraph"/>
        <w:numPr>
          <w:ilvl w:val="0"/>
          <w:numId w:val="2"/>
        </w:numPr>
        <w:spacing w:after="40" w:before="40"/>
      </w:pPr>
      <w:r>
        <w:rPr>
          <w:rFonts w:ascii="Arial" w:cs="Arial" w:eastAsia="Arial" w:hAnsi="Arial"/>
          <w:color w:val="333333"/>
          <w:sz w:val="22"/>
          <w:szCs w:val="22"/>
        </w:rPr>
        <w:t xml:space="preserve">Collected data will be used solely for academic research purposes and will not be redistributed or published commercially.</w:t>
      </w:r>
    </w:p>
    <w:p>
      <w:pPr>
        <w:spacing w:after="60" w:before="60"/>
      </w:pPr>
      <w:r>
        <w:t xml:space="preserve"/>
      </w:r>
    </w:p>
    <w:p>
      <w:pPr>
        <w:pStyle w:val="Heading2"/>
        <w:spacing w:after="100" w:before="220"/>
      </w:pPr>
      <w:r>
        <w:rPr>
          <w:rFonts w:ascii="Arial" w:cs="Arial" w:eastAsia="Arial" w:hAnsi="Arial"/>
          <w:b/>
          <w:bCs/>
          <w:color w:val="2E75B6"/>
          <w:sz w:val="24"/>
          <w:szCs w:val="24"/>
        </w:rPr>
        <w:t xml:space="preserve">10.2  Usability Study Ethics</w:t>
      </w:r>
    </w:p>
    <w:p>
      <w:pPr>
        <w:pStyle w:val="ListParagraph"/>
        <w:numPr>
          <w:ilvl w:val="0"/>
          <w:numId w:val="2"/>
        </w:numPr>
        <w:spacing w:after="40" w:before="40"/>
      </w:pPr>
      <w:r>
        <w:rPr>
          <w:rFonts w:ascii="Arial" w:cs="Arial" w:eastAsia="Arial" w:hAnsi="Arial"/>
          <w:color w:val="333333"/>
          <w:sz w:val="22"/>
          <w:szCs w:val="22"/>
        </w:rPr>
        <w:t xml:space="preserve">All usability study participants will provide written informed consent prior to participation. A participant information sheet and consent form will be prepared and approved via the MMU ethics process.</w:t>
      </w:r>
    </w:p>
    <w:p>
      <w:pPr>
        <w:pStyle w:val="ListParagraph"/>
        <w:numPr>
          <w:ilvl w:val="0"/>
          <w:numId w:val="2"/>
        </w:numPr>
        <w:spacing w:after="40" w:before="40"/>
      </w:pPr>
      <w:r>
        <w:rPr>
          <w:rFonts w:ascii="Arial" w:cs="Arial" w:eastAsia="Arial" w:hAnsi="Arial"/>
          <w:color w:val="333333"/>
          <w:sz w:val="22"/>
          <w:szCs w:val="22"/>
        </w:rPr>
        <w:t xml:space="preserve">Participation is entirely voluntary. Participants may withdraw at any time without consequence.</w:t>
      </w:r>
    </w:p>
    <w:p>
      <w:pPr>
        <w:pStyle w:val="ListParagraph"/>
        <w:numPr>
          <w:ilvl w:val="0"/>
          <w:numId w:val="2"/>
        </w:numPr>
        <w:spacing w:after="40" w:before="40"/>
      </w:pPr>
      <w:r>
        <w:rPr>
          <w:rFonts w:ascii="Arial" w:cs="Arial" w:eastAsia="Arial" w:hAnsi="Arial"/>
          <w:color w:val="333333"/>
          <w:sz w:val="22"/>
          <w:szCs w:val="22"/>
        </w:rPr>
        <w:t xml:space="preserve">No sensitive personal data will be collected. Only task completion times, SUS scores, and anonymised think-aloud observations will be recorded.</w:t>
      </w:r>
    </w:p>
    <w:p>
      <w:pPr>
        <w:pStyle w:val="ListParagraph"/>
        <w:numPr>
          <w:ilvl w:val="0"/>
          <w:numId w:val="2"/>
        </w:numPr>
        <w:spacing w:after="40" w:before="40"/>
      </w:pPr>
      <w:r>
        <w:rPr>
          <w:rFonts w:ascii="Arial" w:cs="Arial" w:eastAsia="Arial" w:hAnsi="Arial"/>
          <w:color w:val="333333"/>
          <w:sz w:val="22"/>
          <w:szCs w:val="22"/>
        </w:rPr>
        <w:t xml:space="preserve">Think-aloud sessions will be screen-recorded (with explicit consent) for analysis purposes only. Recordings will be deleted after analysis is complete.</w:t>
      </w:r>
    </w:p>
    <w:p>
      <w:pPr>
        <w:spacing w:after="60" w:before="60"/>
      </w:pPr>
      <w:r>
        <w:t xml:space="preserve"/>
      </w:r>
    </w:p>
    <w:p>
      <w:pPr>
        <w:pStyle w:val="Heading2"/>
        <w:spacing w:after="100" w:before="220"/>
      </w:pPr>
      <w:r>
        <w:rPr>
          <w:rFonts w:ascii="Arial" w:cs="Arial" w:eastAsia="Arial" w:hAnsi="Arial"/>
          <w:b/>
          <w:bCs/>
          <w:color w:val="2E75B6"/>
          <w:sz w:val="24"/>
          <w:szCs w:val="24"/>
        </w:rPr>
        <w:t xml:space="preserve">10.3  General Ethics Statement</w:t>
      </w:r>
    </w:p>
    <w:p>
      <w:pPr>
        <w:pStyle w:val="ListParagraph"/>
        <w:numPr>
          <w:ilvl w:val="0"/>
          <w:numId w:val="2"/>
        </w:numPr>
        <w:spacing w:after="40" w:before="40"/>
      </w:pPr>
      <w:r>
        <w:rPr>
          <w:rFonts w:ascii="Arial" w:cs="Arial" w:eastAsia="Arial" w:hAnsi="Arial"/>
          <w:color w:val="333333"/>
          <w:sz w:val="22"/>
          <w:szCs w:val="22"/>
        </w:rPr>
        <w:t xml:space="preserve">This project does not involve clinical subjects, vulnerable populations, or data requiring NHS Research Ethics Committee approval.</w:t>
      </w:r>
    </w:p>
    <w:p>
      <w:pPr>
        <w:pStyle w:val="ListParagraph"/>
        <w:numPr>
          <w:ilvl w:val="0"/>
          <w:numId w:val="2"/>
        </w:numPr>
        <w:spacing w:after="40" w:before="40"/>
      </w:pPr>
      <w:r>
        <w:rPr>
          <w:rFonts w:ascii="Arial" w:cs="Arial" w:eastAsia="Arial" w:hAnsi="Arial"/>
          <w:color w:val="333333"/>
          <w:sz w:val="22"/>
          <w:szCs w:val="22"/>
        </w:rPr>
        <w:t xml:space="preserve">All third-party APIs and libraries are used in full compliance with their respective licences and terms of service.</w:t>
      </w:r>
    </w:p>
    <w:p>
      <w:pPr>
        <w:pStyle w:val="ListParagraph"/>
        <w:numPr>
          <w:ilvl w:val="0"/>
          <w:numId w:val="2"/>
        </w:numPr>
        <w:spacing w:after="40" w:before="40"/>
      </w:pPr>
      <w:r>
        <w:rPr>
          <w:rFonts w:ascii="Arial" w:cs="Arial" w:eastAsia="Arial" w:hAnsi="Arial"/>
          <w:color w:val="333333"/>
          <w:sz w:val="22"/>
          <w:szCs w:val="22"/>
        </w:rPr>
        <w:t xml:space="preserve">The completed Ethics Form and TOR will be submitted to the MMU ethics portal upon supervisor sign-off of this document.</w:t>
      </w:r>
    </w:p>
    <w:p>
      <w:pPr>
        <w:spacing w:after="60" w:before="60"/>
      </w:pPr>
      <w:r>
        <w:t xml:space="preserve"/>
      </w:r>
    </w:p>
    <w:p>
      <w:pPr>
        <w:pStyle w:val="Heading1"/>
        <w:pBdr>
          <w:bottom w:val="single" w:color="2E75B6" w:sz="6" w:space="1"/>
        </w:pBdr>
        <w:spacing w:after="160" w:before="340"/>
      </w:pPr>
      <w:r>
        <w:rPr>
          <w:rFonts w:ascii="Arial" w:cs="Arial" w:eastAsia="Arial" w:hAnsi="Arial"/>
          <w:b/>
          <w:bCs/>
          <w:color w:val="1F3864"/>
          <w:sz w:val="28"/>
          <w:szCs w:val="28"/>
        </w:rPr>
        <w:t xml:space="preserve">11.  Project Deliverables</w:t>
      </w:r>
    </w:p>
    <w:p>
      <w:pPr>
        <w:pStyle w:val="ListParagraph"/>
        <w:numPr>
          <w:ilvl w:val="0"/>
          <w:numId w:val="2"/>
        </w:numPr>
        <w:spacing w:after="40" w:before="40"/>
      </w:pPr>
      <w:r>
        <w:rPr>
          <w:rFonts w:ascii="Arial" w:cs="Arial" w:eastAsia="Arial" w:hAnsi="Arial"/>
          <w:b/>
          <w:bCs/>
          <w:color w:val="333333"/>
          <w:sz w:val="22"/>
          <w:szCs w:val="22"/>
        </w:rPr>
        <w:t xml:space="preserve">D1 — </w:t>
      </w:r>
      <w:r>
        <w:rPr>
          <w:rFonts w:ascii="Arial" w:cs="Arial" w:eastAsia="Arial" w:hAnsi="Arial"/>
          <w:b w:val="false"/>
          <w:bCs w:val="false"/>
          <w:color w:val="333333"/>
          <w:sz w:val="22"/>
          <w:szCs w:val="22"/>
        </w:rPr>
        <w:t xml:space="preserve">Approved Terms of Reference (this document)</w:t>
      </w:r>
    </w:p>
    <w:p>
      <w:pPr>
        <w:pStyle w:val="ListParagraph"/>
        <w:numPr>
          <w:ilvl w:val="0"/>
          <w:numId w:val="2"/>
        </w:numPr>
        <w:spacing w:after="40" w:before="40"/>
      </w:pPr>
      <w:r>
        <w:rPr>
          <w:rFonts w:ascii="Arial" w:cs="Arial" w:eastAsia="Arial" w:hAnsi="Arial"/>
          <w:b/>
          <w:bCs/>
          <w:color w:val="333333"/>
          <w:sz w:val="22"/>
          <w:szCs w:val="22"/>
        </w:rPr>
        <w:t xml:space="preserve">D2 — </w:t>
      </w:r>
      <w:r>
        <w:rPr>
          <w:rFonts w:ascii="Arial" w:cs="Arial" w:eastAsia="Arial" w:hAnsi="Arial"/>
          <w:b w:val="false"/>
          <w:bCs w:val="false"/>
          <w:color w:val="333333"/>
          <w:sz w:val="22"/>
          <w:szCs w:val="22"/>
        </w:rPr>
        <w:t xml:space="preserve">GSEA Dashboard codebase (9 modules, hosted on GitHub with README and deployment instructions)</w:t>
      </w:r>
    </w:p>
    <w:p>
      <w:pPr>
        <w:pStyle w:val="ListParagraph"/>
        <w:numPr>
          <w:ilvl w:val="0"/>
          <w:numId w:val="2"/>
        </w:numPr>
        <w:spacing w:after="40" w:before="40"/>
      </w:pPr>
      <w:r>
        <w:rPr>
          <w:rFonts w:ascii="Arial" w:cs="Arial" w:eastAsia="Arial" w:hAnsi="Arial"/>
          <w:b/>
          <w:bCs/>
          <w:color w:val="333333"/>
          <w:sz w:val="22"/>
          <w:szCs w:val="22"/>
        </w:rPr>
        <w:t xml:space="preserve">D3 — </w:t>
      </w:r>
      <w:r>
        <w:rPr>
          <w:rFonts w:ascii="Arial" w:cs="Arial" w:eastAsia="Arial" w:hAnsi="Arial"/>
          <w:b w:val="false"/>
          <w:bCs w:val="false"/>
          <w:color w:val="333333"/>
          <w:sz w:val="22"/>
          <w:szCs w:val="22"/>
        </w:rPr>
        <w:t xml:space="preserve">NLP pipeline with annotated ground-truth dataset (50 articles, entity labels, precision/recall report)</w:t>
      </w:r>
    </w:p>
    <w:p>
      <w:pPr>
        <w:pStyle w:val="ListParagraph"/>
        <w:numPr>
          <w:ilvl w:val="0"/>
          <w:numId w:val="2"/>
        </w:numPr>
        <w:spacing w:after="40" w:before="40"/>
      </w:pPr>
      <w:r>
        <w:rPr>
          <w:rFonts w:ascii="Arial" w:cs="Arial" w:eastAsia="Arial" w:hAnsi="Arial"/>
          <w:b/>
          <w:bCs/>
          <w:color w:val="333333"/>
          <w:sz w:val="22"/>
          <w:szCs w:val="22"/>
        </w:rPr>
        <w:t xml:space="preserve">D4 — </w:t>
      </w:r>
      <w:r>
        <w:rPr>
          <w:rFonts w:ascii="Arial" w:cs="Arial" w:eastAsia="Arial" w:hAnsi="Arial"/>
          <w:b w:val="false"/>
          <w:bCs w:val="false"/>
          <w:color w:val="333333"/>
          <w:sz w:val="22"/>
          <w:szCs w:val="22"/>
        </w:rPr>
        <w:t xml:space="preserve">SCI validation report (CodeCarbon benchmark comparison, ±5% tolerance test results)</w:t>
      </w:r>
    </w:p>
    <w:p>
      <w:pPr>
        <w:pStyle w:val="ListParagraph"/>
        <w:numPr>
          <w:ilvl w:val="0"/>
          <w:numId w:val="2"/>
        </w:numPr>
        <w:spacing w:after="40" w:before="40"/>
      </w:pPr>
      <w:r>
        <w:rPr>
          <w:rFonts w:ascii="Arial" w:cs="Arial" w:eastAsia="Arial" w:hAnsi="Arial"/>
          <w:b/>
          <w:bCs/>
          <w:color w:val="333333"/>
          <w:sz w:val="22"/>
          <w:szCs w:val="22"/>
        </w:rPr>
        <w:t xml:space="preserve">D5 — </w:t>
      </w:r>
      <w:r>
        <w:rPr>
          <w:rFonts w:ascii="Arial" w:cs="Arial" w:eastAsia="Arial" w:hAnsi="Arial"/>
          <w:b w:val="false"/>
          <w:bCs w:val="false"/>
          <w:color w:val="333333"/>
          <w:sz w:val="22"/>
          <w:szCs w:val="22"/>
        </w:rPr>
        <w:t xml:space="preserve">Usability evaluation report (SUS scores, think-aloud analysis, task completion rates)</w:t>
      </w:r>
    </w:p>
    <w:p>
      <w:pPr>
        <w:pStyle w:val="ListParagraph"/>
        <w:numPr>
          <w:ilvl w:val="0"/>
          <w:numId w:val="2"/>
        </w:numPr>
        <w:spacing w:after="40" w:before="40"/>
      </w:pPr>
      <w:r>
        <w:rPr>
          <w:rFonts w:ascii="Arial" w:cs="Arial" w:eastAsia="Arial" w:hAnsi="Arial"/>
          <w:b/>
          <w:bCs/>
          <w:color w:val="333333"/>
          <w:sz w:val="22"/>
          <w:szCs w:val="22"/>
        </w:rPr>
        <w:t xml:space="preserve">D6 — </w:t>
      </w:r>
      <w:r>
        <w:rPr>
          <w:rFonts w:ascii="Arial" w:cs="Arial" w:eastAsia="Arial" w:hAnsi="Arial"/>
          <w:b w:val="false"/>
          <w:bCs w:val="false"/>
          <w:color w:val="333333"/>
          <w:sz w:val="22"/>
          <w:szCs w:val="22"/>
        </w:rPr>
        <w:t>MSc Dissertation (approx. 10,000–15,000 words) covering all research phases</w:t>
      </w:r>
    </w:p>
    <w:p>
      <w:pPr>
        <w:spacing w:after="60" w:before="60"/>
      </w:pPr>
      <w:r>
        <w:t xml:space="preserve"/>
      </w:r>
    </w:p>
    <w:p>
      <w:pPr>
        <w:pStyle w:val="Heading1"/>
        <w:pBdr>
          <w:bottom w:val="single" w:color="2E75B6" w:sz="6" w:space="1"/>
        </w:pBdr>
        <w:spacing w:after="160" w:before="340"/>
      </w:pPr>
      <w:r>
        <w:rPr>
          <w:rFonts w:ascii="Arial" w:cs="Arial" w:eastAsia="Arial" w:hAnsi="Arial"/>
          <w:b/>
          <w:bCs/>
          <w:color w:val="1F3864"/>
          <w:sz w:val="28"/>
          <w:szCs w:val="28"/>
        </w:rPr>
        <w:t xml:space="preserve">12.  Key References</w:t>
      </w:r>
    </w:p>
    <w:p>
      <w:pPr>
        <w:pStyle w:val="ListParagraph"/>
        <w:numPr>
          <w:ilvl w:val="0"/>
          <w:numId w:val="2"/>
        </w:numPr>
        <w:spacing w:after="40" w:before="40"/>
      </w:pPr>
      <w:r>
        <w:rPr>
          <w:rFonts w:ascii="Arial" w:cs="Arial" w:eastAsia="Arial" w:hAnsi="Arial"/>
          <w:color w:val="333333"/>
          <w:sz w:val="22"/>
          <w:szCs w:val="22"/>
        </w:rPr>
        <w:t xml:space="preserve">Green Software Foundation (2023). Software Carbon Intensity (SCI) Specification. ISO/IEC 21031. https://greensoftware.foundation/projects/software-carbon-intensity</w:t>
      </w:r>
    </w:p>
    <w:p>
      <w:pPr>
        <w:pStyle w:val="ListParagraph"/>
        <w:numPr>
          <w:ilvl w:val="0"/>
          <w:numId w:val="2"/>
        </w:numPr>
        <w:spacing w:after="40" w:before="40"/>
      </w:pPr>
      <w:r>
        <w:rPr>
          <w:rFonts w:ascii="Arial" w:cs="Arial" w:eastAsia="Arial" w:hAnsi="Arial"/>
          <w:color w:val="333333"/>
          <w:sz w:val="22"/>
          <w:szCs w:val="22"/>
        </w:rPr>
        <w:t xml:space="preserve">Green Software Foundation (2023). Structured Open Governance Standard (SOGS) 2023.</w:t>
      </w:r>
    </w:p>
    <w:p>
      <w:pPr>
        <w:pStyle w:val="ListParagraph"/>
        <w:numPr>
          <w:ilvl w:val="0"/>
          <w:numId w:val="2"/>
        </w:numPr>
        <w:spacing w:after="40" w:before="40"/>
      </w:pPr>
      <w:r>
        <w:rPr>
          <w:rFonts w:ascii="Arial" w:cs="Arial" w:eastAsia="Arial" w:hAnsi="Arial"/>
          <w:color w:val="333333"/>
          <w:sz w:val="22"/>
          <w:szCs w:val="22"/>
        </w:rPr>
        <w:t xml:space="preserve">Forem / dev.to (2024). DEV API (Beta) Documentation. https://developers.forem.com/api</w:t>
      </w:r>
    </w:p>
    <w:p>
      <w:pPr>
        <w:pStyle w:val="ListParagraph"/>
        <w:numPr>
          <w:ilvl w:val="0"/>
          <w:numId w:val="2"/>
        </w:numPr>
        <w:spacing w:after="40" w:before="40"/>
      </w:pPr>
      <w:r>
        <w:rPr>
          <w:rFonts w:ascii="Arial" w:cs="Arial" w:eastAsia="Arial" w:hAnsi="Arial"/>
          <w:color w:val="333333"/>
          <w:sz w:val="22"/>
          <w:szCs w:val="22"/>
        </w:rPr>
        <w:t xml:space="preserve">Courty, B. et al. (2023). CodeCarbon: Estimate and Track Carbon Emissions from Machine Learning Computing. Journal of Open Source Software. https://doi.org/10.21105/joss.05251</w:t>
      </w:r>
    </w:p>
    <w:p>
      <w:pPr>
        <w:pStyle w:val="ListParagraph"/>
        <w:numPr>
          <w:ilvl w:val="0"/>
          <w:numId w:val="2"/>
        </w:numPr>
        <w:spacing w:after="40" w:before="40"/>
      </w:pPr>
      <w:r>
        <w:rPr>
          <w:rFonts w:ascii="Arial" w:cs="Arial" w:eastAsia="Arial" w:hAnsi="Arial"/>
          <w:color w:val="333333"/>
          <w:sz w:val="22"/>
          <w:szCs w:val="22"/>
        </w:rPr>
        <w:t xml:space="preserve">Green Coding Solutions (2023). Green Metrics Tool. https://www.green-coding.io</w:t>
      </w:r>
    </w:p>
    <w:p>
      <w:pPr>
        <w:pStyle w:val="ListParagraph"/>
        <w:numPr>
          <w:ilvl w:val="0"/>
          <w:numId w:val="2"/>
        </w:numPr>
        <w:spacing w:after="40" w:before="40"/>
      </w:pPr>
      <w:r>
        <w:rPr>
          <w:rFonts w:ascii="Arial" w:cs="Arial" w:eastAsia="Arial" w:hAnsi="Arial"/>
          <w:color w:val="333333"/>
          <w:sz w:val="22"/>
          <w:szCs w:val="22"/>
        </w:rPr>
        <w:t xml:space="preserve">Bannour, W., Ghannay, S., Névéol, A. &amp; Ligozat, A-L. (2021). Evaluating the Carbon Footprint of NLP Methods. Proceedings of the 2nd Workshop on Simple and Efficient Natural Language Processing (SustaiNLP), EMNLP 2021.</w:t>
      </w:r>
    </w:p>
    <w:p>
      <w:pPr>
        <w:pStyle w:val="ListParagraph"/>
        <w:numPr>
          <w:ilvl w:val="0"/>
          <w:numId w:val="2"/>
        </w:numPr>
        <w:spacing w:after="40" w:before="40"/>
      </w:pPr>
      <w:r>
        <w:rPr>
          <w:rFonts w:ascii="Arial" w:cs="Arial" w:eastAsia="Arial" w:hAnsi="Arial"/>
          <w:color w:val="333333"/>
          <w:sz w:val="22"/>
          <w:szCs w:val="22"/>
        </w:rPr>
        <w:t xml:space="preserve">Honnibal, M. &amp; Montani, I. (2017). spaCy 2: Natural Language Understanding with Bloom Embeddings, Convolutional Neural Networks and Incremental Parsing.</w:t>
      </w:r>
    </w:p>
    <w:p>
      <w:pPr>
        <w:pStyle w:val="ListParagraph"/>
        <w:numPr>
          <w:ilvl w:val="0"/>
          <w:numId w:val="2"/>
        </w:numPr>
        <w:spacing w:after="40" w:before="40"/>
      </w:pPr>
      <w:r>
        <w:rPr>
          <w:rFonts w:ascii="Arial" w:cs="Arial" w:eastAsia="Arial" w:hAnsi="Arial"/>
          <w:color w:val="333333"/>
          <w:sz w:val="22"/>
          <w:szCs w:val="22"/>
        </w:rPr>
        <w:t xml:space="preserve">Electricity Maps (2024). Carbon Intensity API. https://api.electricitymap.org</w:t>
      </w:r>
    </w:p>
    <w:p>
      <w:pPr>
        <w:pStyle w:val="ListParagraph"/>
        <w:numPr>
          <w:ilvl w:val="0"/>
          <w:numId w:val="2"/>
        </w:numPr>
        <w:spacing w:after="40" w:before="40"/>
      </w:pPr>
      <w:r>
        <w:rPr>
          <w:rFonts w:ascii="Arial" w:cs="Arial" w:eastAsia="Arial" w:hAnsi="Arial"/>
          <w:color w:val="333333"/>
          <w:sz w:val="22"/>
          <w:szCs w:val="22"/>
        </w:rPr>
        <w:t xml:space="preserve">Nielsen, J. (2000). Why You Only Need to Test with 5 Users. Nielsen Norman Group. https://www.nngroup.com/articles/why-you-only-need-to-test-with-5-users/</w:t>
      </w:r>
    </w:p>
    <w:p>
      <w:pPr>
        <w:pStyle w:val="ListParagraph"/>
        <w:numPr>
          <w:ilvl w:val="0"/>
          <w:numId w:val="2"/>
        </w:numPr>
        <w:spacing w:after="40" w:before="40"/>
      </w:pPr>
      <w:r>
        <w:rPr>
          <w:rFonts w:ascii="Arial" w:cs="Arial" w:eastAsia="Arial" w:hAnsi="Arial"/>
          <w:color w:val="333333"/>
          <w:sz w:val="22"/>
          <w:szCs w:val="22"/>
        </w:rPr>
        <w:t xml:space="preserve">Brooke, J. (1996). SUS: A Quick and Dirty Usability Scale. In P. Jordan et al. (Eds.), Usability Evaluation in Industry (pp. 189–194). Taylor &amp; Francis.</w:t>
      </w:r>
    </w:p>
    <w:p>
      <w:pPr>
        <w:pStyle w:val="ListParagraph"/>
        <w:numPr>
          <w:ilvl w:val="0"/>
          <w:numId w:val="2"/>
        </w:numPr>
        <w:spacing w:after="40" w:before="40"/>
      </w:pPr>
      <w:r>
        <w:rPr>
          <w:rFonts w:ascii="Arial" w:cs="Arial" w:eastAsia="Arial" w:hAnsi="Arial"/>
          <w:color w:val="333333"/>
          <w:sz w:val="22"/>
          <w:szCs w:val="22"/>
        </w:rPr>
        <w:t xml:space="preserve">Bangor, A., Kortum, P. &amp; Miller, J. (2009). Determining What Individual SUS Scores Mean: Adding an Adjective Rating Scale. Journal of Usability Studies, 4(3), 114–123.</w:t>
      </w:r>
    </w:p>
    <w:p>
      <w:pPr>
        <w:pStyle w:val="ListParagraph"/>
        <w:numPr>
          <w:ilvl w:val="0"/>
          <w:numId w:val="2"/>
        </w:numPr>
        <w:spacing w:after="40" w:before="40"/>
      </w:pPr>
      <w:r>
        <w:rPr>
          <w:rFonts w:ascii="Arial" w:cs="Arial" w:eastAsia="Arial" w:hAnsi="Arial"/>
          <w:color w:val="333333"/>
          <w:sz w:val="22"/>
          <w:szCs w:val="22"/>
        </w:rPr>
        <w:t xml:space="preserve">Hevner, A.R. et al. (2004). Design Science in Information Systems Research. MIS Quarterly, 28(1), 75–105.</w:t>
      </w:r>
    </w:p>
    <w:p>
      <w:pPr>
        <w:pStyle w:val="ListParagraph"/>
        <w:numPr>
          <w:ilvl w:val="0"/>
          <w:numId w:val="2"/>
        </w:numPr>
        <w:spacing w:after="40" w:before="40"/>
      </w:pPr>
      <w:r>
        <w:rPr>
          <w:rFonts w:ascii="Arial" w:cs="Arial" w:eastAsia="Arial" w:hAnsi="Arial"/>
          <w:color w:val="333333"/>
          <w:sz w:val="22"/>
          <w:szCs w:val="22"/>
        </w:rPr>
        <w:t xml:space="preserve">IEA (2023). World Energy Outlook 2023 — Carbon Intensity by Country Data.</w:t>
      </w:r>
    </w:p>
    <w:p>
      <w:pPr>
        <w:spacing w:after="60" w:before="60"/>
      </w:pPr>
      <w:r>
        <w:t xml:space="preserve"/>
      </w:r>
    </w:p>
    <w:p>
      <w:pPr>
        <w:spacing w:after="60" w:before="60"/>
      </w:pPr>
      <w:r>
        <w:t xml:space="preserve"/>
      </w:r>
    </w:p>
    <w:p>
      <w:pPr>
        <w:pStyle w:val="Heading1"/>
        <w:pBdr>
          <w:bottom w:val="single" w:color="2E75B6" w:sz="6" w:space="1"/>
        </w:pBdr>
        <w:spacing w:after="160" w:before="340"/>
      </w:pPr>
      <w:r>
        <w:rPr>
          <w:rFonts w:ascii="Arial" w:cs="Arial" w:eastAsia="Arial" w:hAnsi="Arial"/>
          <w:b/>
          <w:bCs/>
          <w:color w:val="1F3864"/>
          <w:sz w:val="28"/>
          <w:szCs w:val="28"/>
        </w:rPr>
        <w:t xml:space="preserve">13.  Agreement and Sign-off</w:t>
      </w:r>
    </w:p>
    <w:p>
      <w:pPr>
        <w:spacing w:after="60" w:before="60"/>
        <w:jc w:val="both"/>
      </w:pPr>
      <w:r>
        <w:rPr>
          <w:rFonts w:ascii="Arial" w:cs="Arial" w:eastAsia="Arial" w:hAnsi="Arial"/>
          <w:color w:val="333333"/>
          <w:sz w:val="22"/>
          <w:szCs w:val="22"/>
        </w:rPr>
        <w:t xml:space="preserve">This Terms of Reference has been prepared by the student and is submitted to the supervisor for review and formal approval. Upon approval, it will be submitted to the MMU ethics and TOR portal. It represents the agreed project scope, research methodology, data strategy, and evaluation plan.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5F9FD" w:val="clear"/>
            <w:tcMar>
              <w:top w:type="dxa" w:w="120"/>
              <w:left w:type="dxa" w:w="160"/>
              <w:bottom w:type="dxa" w:w="200"/>
              <w:right w:type="dxa" w:w="160"/>
            </w:tcMar>
          </w:tcPr>
          <w:p>
            <w:r>
              <w:rPr>
                <w:rFonts w:ascii="Arial" w:cs="Arial" w:eastAsia="Arial" w:hAnsi="Arial"/>
                <w:b/>
                <w:bCs/>
                <w:color w:val="1F3864"/>
                <w:sz w:val="20"/>
                <w:szCs w:val="20"/>
              </w:rPr>
              <w:t xml:space="preserve">Student</w:t>
            </w:r>
          </w:p>
          <w:p>
            <w:pPr>
              <w:spacing w:before="40"/>
            </w:pPr>
            <w:r>
              <w:rPr>
                <w:rFonts w:ascii="Arial" w:cs="Arial" w:eastAsia="Arial" w:hAnsi="Arial"/>
                <w:sz w:val="20"/>
                <w:szCs w:val="20"/>
              </w:rPr>
              <w:t xml:space="preserve">Animashaun Taiwo Ibrahim</w:t>
            </w:r>
          </w:p>
          <w:p>
            <w:pPr>
              <w:spacing w:before="20"/>
            </w:pPr>
            <w:r>
              <w:rPr>
                <w:rFonts w:ascii="Arial" w:cs="Arial" w:eastAsia="Arial" w:hAnsi="Arial"/>
                <w:color w:val="666666"/>
                <w:sz w:val="20"/>
                <w:szCs w:val="20"/>
              </w:rPr>
              <w:t xml:space="preserve">MSc Computer Science</w:t>
            </w:r>
          </w:p>
          <w:p>
            <w:pPr>
              <w:spacing w:before="20"/>
            </w:pPr>
            <w:r>
              <w:rPr>
                <w:rFonts w:ascii="Arial" w:cs="Arial" w:eastAsia="Arial" w:hAnsi="Arial"/>
                <w:color w:val="666666"/>
                <w:sz w:val="20"/>
                <w:szCs w:val="20"/>
              </w:rPr>
              <w:t xml:space="preserve">Manchester Metropolitan University (MMU)</w:t>
            </w:r>
          </w:p>
          <w:p>
            <w:pPr>
              <w:spacing w:before="200"/>
            </w:pPr>
            <w:r>
              <w:rPr>
                <w:rFonts w:ascii="Arial" w:cs="Arial" w:eastAsia="Arial" w:hAnsi="Arial"/>
                <w:color w:val="999999"/>
                <w:sz w:val="20"/>
                <w:szCs w:val="20"/>
              </w:rPr>
              <w:t>Signature: 2594200825942008_______</w:t>
            </w:r>
          </w:p>
          <w:p>
            <w:pPr>
              <w:spacing w:before="120"/>
            </w:pPr>
            <w:r>
              <w:rPr>
                <w:rFonts w:ascii="Arial" w:cs="Arial" w:eastAsia="Arial" w:hAnsi="Arial"/>
                <w:color w:val="999999"/>
                <w:sz w:val="20"/>
                <w:szCs w:val="20"/>
              </w:rPr>
              <w:t>Date: 259420082594200825942008__</w:t>
            </w:r>
          </w:p>
        </w:tc>
        <w:tc>
          <w:tcPr>
            <w:tcW w:type="dxa" w:w="4513"/>
            <w:tcBorders>
              <w:top w:val="single" w:color="CCCCCC" w:sz="1"/>
              <w:left w:val="single" w:color="CCCCCC" w:sz="1"/>
              <w:bottom w:val="single" w:color="CCCCCC" w:sz="1"/>
              <w:right w:val="single" w:color="CCCCCC" w:sz="1"/>
            </w:tcBorders>
            <w:shd w:fill="F5F9FD" w:val="clear"/>
            <w:tcMar>
              <w:top w:type="dxa" w:w="120"/>
              <w:left w:type="dxa" w:w="160"/>
              <w:bottom w:type="dxa" w:w="200"/>
              <w:right w:type="dxa" w:w="160"/>
            </w:tcMar>
          </w:tcPr>
          <w:p>
            <w:r>
              <w:rPr>
                <w:rFonts w:ascii="Arial" w:cs="Arial" w:eastAsia="Arial" w:hAnsi="Arial"/>
                <w:b/>
                <w:bCs/>
                <w:color w:val="1F3864"/>
                <w:sz w:val="20"/>
                <w:szCs w:val="20"/>
              </w:rPr>
              <w:t xml:space="preserve">Supervisor</w:t>
            </w:r>
          </w:p>
          <w:p>
            <w:pPr>
              <w:spacing w:before="40"/>
            </w:pPr>
            <w:r>
              <w:rPr>
                <w:rFonts w:ascii="Arial" w:cs="Arial" w:eastAsia="Arial" w:hAnsi="Arial"/>
                <w:sz w:val="20"/>
                <w:szCs w:val="20"/>
              </w:rPr>
              <w:t xml:space="preserve">Samuel Attwood</w:t>
            </w:r>
          </w:p>
          <w:p>
            <w:pPr>
              <w:spacing w:before="20"/>
            </w:pPr>
            <w:r>
              <w:rPr>
                <w:rFonts w:ascii="Arial" w:cs="Arial" w:eastAsia="Arial" w:hAnsi="Arial"/>
                <w:color w:val="666666"/>
                <w:sz w:val="20"/>
                <w:szCs w:val="20"/>
              </w:rPr>
              <w:t xml:space="preserve">Manchester Metropolitan University (MMU)</w:t>
            </w:r>
          </w:p>
          <w:p>
            <w:pPr>
              <w:spacing w:before="20"/>
            </w:pPr>
            <w:r>
              <w:rPr>
                <w:rFonts w:ascii="Arial" w:cs="Arial" w:eastAsia="Arial" w:hAnsi="Arial"/>
                <w:sz w:val="20"/>
                <w:szCs w:val="20"/>
              </w:rPr>
              <w:t xml:space="preserve"> </w:t>
            </w:r>
          </w:p>
          <w:p>
            <w:pPr>
              <w:spacing w:before="200"/>
            </w:pPr>
            <w:r>
              <w:rPr>
                <w:rFonts w:ascii="Arial" w:cs="Arial" w:eastAsia="Arial" w:hAnsi="Arial"/>
                <w:color w:val="999999"/>
                <w:sz w:val="20"/>
                <w:szCs w:val="20"/>
              </w:rPr>
              <w:t>Signature: 2594200825942008_______</w:t>
            </w:r>
          </w:p>
          <w:p>
            <w:pPr>
              <w:spacing w:before="120"/>
            </w:pPr>
            <w:r>
              <w:rPr>
                <w:rFonts w:ascii="Arial" w:cs="Arial" w:eastAsia="Arial" w:hAnsi="Arial"/>
                <w:color w:val="999999"/>
                <w:sz w:val="20"/>
                <w:szCs w:val="20"/>
              </w:rPr>
              <w:t>Date: 259420082594200825942008__</w:t>
            </w:r>
          </w:p>
        </w:tc>
      </w:tr>
    </w:tbl>
    <w:sectPr>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2026-06-08T20:08:52.883Z</dcterms:created>
  <dcterms:modified xsi:type="dcterms:W3CDTF">2026-06-08T20:08:52.884Z</dcterms:modified>
</cp:coreProperties>
</file>

<file path=docProps/custom.xml><?xml version="1.0" encoding="utf-8"?>
<Properties xmlns="http://schemas.openxmlformats.org/officeDocument/2006/custom-properties" xmlns:vt="http://schemas.openxmlformats.org/officeDocument/2006/docPropsVTypes"/>
</file>