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bookmarkStart w:id="0" w:name="_GoBack"/>
      <w:r>
        <w:rPr>
          <w:lang w:val="en-US" w:eastAsia="zh-CN"/>
        </w:rPr>
        <w:t>After-class reading list</w:t>
      </w:r>
      <w:bookmarkEnd w:id="0"/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Witkin and Baraff. 2001. Physically Based Modeling – Rigid Body Dynamics. SIGGRAPH Courses.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Muller et al. 2005. Meshless Deformations Based on Shape Matching. TOG (SIGGRAPH).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Baraff and Witkin. 1998. Large Step in Cloth Simulation. SIGGRAPH.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Bridson et al. 2003. Simulation of Clothing with Folds and Wrinkles. SCA.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Bergou et al. 2006. A Quadratic Bending Model for Inextensible Surfaces. SCA.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Muller. 2008. Hierarchical Position Based Dynamics. VRIPHYS.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Bouaziz et al. 2014. Projective Dynamics: Fusing Constraint Projections for Fast Simulation. TOG (SIGGRAPH).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Le Grand. 2007. GPU Gems 3 – Chapter 32. Broad-Phase Collision Detection with CUDA.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Bridson et al. 2002. Robust Treatment of Collisions, Contact and Friction for Cloth Animation. TOG (SIGGRAPH).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Volino et al. 2006. Resolving Surface Collisions through Intersection Contour Minimization. TOG (SIGGRAPH).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(Optional)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Provot. 1995. Deformation Constraints in a Mass-Spring Model to Describe Rigid Cloth Behavior. Graphics Interface.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Tournier et al. 2015. Stable Constrained Dynamics. TOG (SIGGRAPH).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BF1B78"/>
    <w:rsid w:val="6ABF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2021-11-09T11:39:00Z</dcterms:created>
  <dc:creator>anne</dc:creator>
  <cp:lastModifiedBy>anne</cp:lastModifiedBy>
  <dcterms:modified xsi:type="dcterms:W3CDTF">2021-11-09T11:39:31Z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