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i w:val="false"/>
          <w:iCs w:val="false"/>
          <w:sz w:val="36"/>
          <w:szCs w:val="36"/>
        </w:rPr>
        <w:t xml:space="preserve">Day 4 — Gap Analysis Template</w:t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666666"/>
        </w:rPr>
        <w:t xml:space="preserve">Reproducibility: Learning to Edit — Aligning LLMs with Knowledge Editing (Jiang et al., ACL 2024)</w:t>
      </w:r>
    </w:p>
    <w:p>
      <w:pPr>
        <w:spacing w:after="240"/>
      </w:pPr>
      <w:r>
        <w:rPr>
          <w:b w:val="false"/>
          <w:bCs w:val="false"/>
          <w:i w:val="false"/>
          <w:iCs w:val="false"/>
        </w:rPr>
        <w:t xml:space="preserve">Authors: Marvin Osei-Kuffour (Person A), Tajaddin Gafarov (Person B). CAI 5335 / CIS 4930, University of South Florida.</w:t>
      </w:r>
    </w:p>
    <w:p>
      <w:pPr>
        <w:pStyle w:val="Heading1"/>
        <w:spacing w:after="120" w:before="240"/>
      </w:pPr>
      <w:r>
        <w:t xml:space="preserve">1. Summary of what we ran</w:t>
      </w:r>
    </w:p>
    <w:p>
      <w:pPr>
        <w:spacing w:after="120"/>
      </w:pPr>
      <w:r>
        <w:t xml:space="preserve">We reproduced the LTE-LoRA result from Jiang et al. 2024 on </w:t>
      </w:r>
      <w:r>
        <w:rPr>
          <w:i/>
          <w:iCs/>
          <w:color w:val="C00000"/>
        </w:rPr>
        <w:t xml:space="preserve">[ZsRE / WikiData_counterfact / both]</w:t>
      </w:r>
      <w:r>
        <w:t xml:space="preserve"> against two baselines (</w:t>
      </w:r>
      <w:r>
        <w:rPr>
          <w:i/>
          <w:iCs/>
          <w:color w:val="C00000"/>
        </w:rPr>
        <w:t xml:space="preserve">ICE, ROME</w:t>
      </w:r>
      <w:r>
        <w:t xml:space="preserve">), using LLaMA-2-Chat-7B as the backbone. Alignment training ran on a Colab A100 for </w:t>
      </w:r>
      <w:r>
        <w:rPr>
          <w:i/>
          <w:iCs/>
          <w:color w:val="C00000"/>
        </w:rPr>
        <w:t xml:space="preserve">[X.X hours]</w:t>
      </w:r>
      <w:r>
        <w:t xml:space="preserve"> over 3 epochs of the 60k-example LTE SFT dataset. Evaluation used the EasyEdit toolkit.</w:t>
      </w:r>
    </w:p>
    <w:p>
      <w:pPr>
        <w:pStyle w:val="Heading1"/>
        <w:spacing w:after="120" w:before="240"/>
      </w:pPr>
      <w:r>
        <w:t xml:space="preserve">2.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Backbone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LLaMA-2-Chat-7B (NousResearch ungated mirror)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Methods reproduced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ICE, ROME, LTE-LoRA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Datasets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ZsRE-test-all (1,304 ex.), wiki_counterfact/test_cf (885 ex.)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Colab A100 40 GB (training + LTE-LoRA eval); Person A: [GPU?] for ICE/ROME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LoRA config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r=8, alpha=16, dropout=0.05 (matches authors)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Optimizer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AdamW, lr=3e-4, cosine schedule, 3 epochs, eff. batch 128 (per_device 2 × accum 64)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Quantization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bf16 during training; QLoRA 4-bit only on local 8 GB prototyping path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Out of scope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Batch / sequential editing (1k edits), Qwen-Chat-7B, full LTE (fp16 fine-tuning)</w:t>
            </w:r>
          </w:p>
        </w:tc>
      </w:tr>
    </w:tbl>
    <w:p>
      <w:pPr>
        <w:pStyle w:val="Heading1"/>
        <w:spacing w:after="120" w:before="240"/>
      </w:pPr>
      <w:r>
        <w:t xml:space="preserve">3. Results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Numbers below are pulled from Table1_Replica.xlsx. Replace the placeholder cells with the actual values.</w:t>
      </w:r>
    </w:p>
    <w:p>
      <w:pPr>
        <w:pStyle w:val="Heading2"/>
        <w:spacing w:after="120" w:before="240"/>
      </w:pPr>
      <w:r>
        <w:t xml:space="preserve">3.1 ZsRE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ICE (ours)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ROME (ours)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LTE-LoRA (ours / paper)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Edit Success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Portability — Reasoning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Portability — Subject Aliasing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Portability — Logical Generalization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Locality — Relation Specificity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Fluency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</w:tbl>
    <w:p>
      <w:pPr>
        <w:pStyle w:val="Heading2"/>
        <w:spacing w:after="120" w:before="240"/>
      </w:pPr>
      <w:r>
        <w:t xml:space="preserve">3.2 WikiData_counterfact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ICE (ours)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ROME (ours)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LTE-LoRA (ours / paper)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Edit Success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Portability — Reasoning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Portability — Subject Aliasing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Portability — Logical Generalization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Locality — Relation Specificity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Locality — Forgetfulness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Fluency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C00000"/>
              </w:rPr>
              <w:t xml:space="preserve">— / —</w:t>
            </w:r>
          </w:p>
        </w:tc>
      </w:tr>
    </w:tbl>
    <w:p>
      <w:pPr>
        <w:pStyle w:val="Heading1"/>
        <w:spacing w:after="120" w:before="240"/>
      </w:pPr>
      <w:r>
        <w:t xml:space="preserve">4. Where we matched the paper</w:t>
      </w:r>
    </w:p>
    <w:p>
      <w:pPr>
        <w:pStyle w:val="ListParagraph"/>
        <w:numPr>
          <w:ilvl w:val="0"/>
          <w:numId w:val="2"/>
        </w:numPr>
      </w:pPr>
      <w:r>
        <w:t xml:space="preserve">LTE-LoRA Edit Success on ZsRE: ours </w:t>
      </w:r>
      <w:r>
        <w:rPr>
          <w:i/>
          <w:iCs/>
          <w:color w:val="C00000"/>
        </w:rPr>
        <w:t xml:space="preserve">[X.XX]</w:t>
      </w:r>
      <w:r>
        <w:t xml:space="preserve">, paper </w:t>
      </w:r>
      <w:r>
        <w:rPr>
          <w:i/>
          <w:iCs/>
          <w:color w:val="C00000"/>
        </w:rPr>
        <w:t xml:space="preserve">[Y.YY]</w:t>
      </w:r>
      <w:r>
        <w:t xml:space="preserve">. </w:t>
      </w:r>
      <w:r>
        <w:rPr>
          <w:i/>
          <w:iCs/>
          <w:color w:val="C00000"/>
        </w:rPr>
        <w:t xml:space="preserve">[Within / outside]</w:t>
      </w:r>
      <w:r>
        <w:t xml:space="preserve"> the paper's claimed ~99.9%.</w:t>
      </w:r>
    </w:p>
    <w:p>
      <w:pPr>
        <w:pStyle w:val="ListParagraph"/>
        <w:numPr>
          <w:ilvl w:val="0"/>
          <w:numId w:val="2"/>
        </w:numPr>
      </w:pPr>
      <w:r>
        <w:t xml:space="preserve">Locality — Relation Specificity: ours </w:t>
      </w:r>
      <w:r>
        <w:rPr>
          <w:i/>
          <w:iCs/>
          <w:color w:val="C00000"/>
        </w:rPr>
        <w:t xml:space="preserve">[X.XX]</w:t>
      </w:r>
      <w:r>
        <w:t xml:space="preserve">, paper </w:t>
      </w:r>
      <w:r>
        <w:rPr>
          <w:i/>
          <w:iCs/>
          <w:color w:val="C00000"/>
        </w:rPr>
        <w:t xml:space="preserve">[Y.YY]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Fluency (n-gram entropy ×100): ours </w:t>
      </w:r>
      <w:r>
        <w:rPr>
          <w:i/>
          <w:iCs/>
          <w:color w:val="C00000"/>
        </w:rPr>
        <w:t xml:space="preserve">[X.XX]</w:t>
      </w:r>
      <w:r>
        <w:t xml:space="preserve">, paper </w:t>
      </w:r>
      <w:r>
        <w:rPr>
          <w:i/>
          <w:iCs/>
          <w:color w:val="C00000"/>
        </w:rPr>
        <w:t xml:space="preserve">[Y.YY]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C00000"/>
        </w:rPr>
        <w:t xml:space="preserve">[Add 1–2 more rows from Table 3.x where Δ is small.]</w:t>
      </w:r>
    </w:p>
    <w:p>
      <w:pPr>
        <w:pStyle w:val="Heading1"/>
        <w:spacing w:after="120" w:before="240"/>
      </w:pPr>
      <w:r>
        <w:t xml:space="preserve">5. Where we diverged from the paper</w:t>
      </w:r>
    </w:p>
    <w:p>
      <w:pPr>
        <w:pStyle w:val="ListParagraph"/>
        <w:numPr>
          <w:ilvl w:val="0"/>
          <w:numId w:val="2"/>
        </w:numPr>
      </w:pPr>
      <w:r>
        <w:t xml:space="preserve">Portability — Logical Generalization: ours </w:t>
      </w:r>
      <w:r>
        <w:rPr>
          <w:i/>
          <w:iCs/>
          <w:color w:val="C00000"/>
        </w:rPr>
        <w:t xml:space="preserve">[X.XX]</w:t>
      </w:r>
      <w:r>
        <w:t xml:space="preserve"> vs paper </w:t>
      </w:r>
      <w:r>
        <w:rPr>
          <w:i/>
          <w:iCs/>
          <w:color w:val="C00000"/>
        </w:rPr>
        <w:t xml:space="preserve">[Y.YY]</w:t>
      </w:r>
      <w:r>
        <w:t xml:space="preserve"> (Δ = </w:t>
      </w:r>
      <w:r>
        <w:rPr>
          <w:i/>
          <w:iCs/>
          <w:color w:val="C00000"/>
        </w:rPr>
        <w:t xml:space="preserve">[±Z]</w:t>
      </w:r>
      <w:r>
        <w:t xml:space="preserve">). Likely cause: </w:t>
      </w:r>
      <w:r>
        <w:rPr>
          <w:i/>
          <w:iCs/>
          <w:color w:val="C00000"/>
        </w:rPr>
        <w:t xml:space="preserve">[hypothesis — see §6]</w:t>
      </w:r>
    </w:p>
    <w:p>
      <w:pPr>
        <w:pStyle w:val="ListParagraph"/>
        <w:numPr>
          <w:ilvl w:val="0"/>
          <w:numId w:val="2"/>
        </w:numPr>
      </w:pPr>
      <w:r>
        <w:t xml:space="preserve">ROME Edit Success on counterfact: ours </w:t>
      </w:r>
      <w:r>
        <w:rPr>
          <w:i/>
          <w:iCs/>
          <w:color w:val="C00000"/>
        </w:rPr>
        <w:t xml:space="preserve">[X.XX]</w:t>
      </w:r>
      <w:r>
        <w:t xml:space="preserve"> vs paper </w:t>
      </w:r>
      <w:r>
        <w:rPr>
          <w:i/>
          <w:iCs/>
          <w:color w:val="C00000"/>
        </w:rPr>
        <w:t xml:space="preserve">[Y.YY]</w:t>
      </w:r>
      <w:r>
        <w:t xml:space="preserve">. ROME is sensitive to the layer hyperparameter; we used the released llama-7b config without re-tuning.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C00000"/>
        </w:rPr>
        <w:t xml:space="preserve">[Add 1–2 more rows from Table 3.x where Δ is large.]</w:t>
      </w:r>
    </w:p>
    <w:p>
      <w:pPr>
        <w:pStyle w:val="Heading1"/>
        <w:spacing w:after="120" w:before="240"/>
      </w:pPr>
      <w:r>
        <w:t xml:space="preserve">6. Hypotheses for the gaps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Each of these is a candidate explanation; if you have time, the appendix has a small experiment to test the most likely one.</w:t>
      </w:r>
    </w:p>
    <w:p>
      <w:pPr>
        <w:pStyle w:val="Heading3"/>
        <w:spacing w:after="120" w:before="240"/>
      </w:pPr>
      <w:r>
        <w:t xml:space="preserve">6.1 Hardware: RTX 5060 (8 GB) prototyping vs. A100 (40 GB) for the real run</w:t>
      </w:r>
    </w:p>
    <w:p>
      <w:pPr>
        <w:pStyle w:val="ListParagraph"/>
        <w:numPr>
          <w:ilvl w:val="0"/>
          <w:numId w:val="2"/>
        </w:numPr>
      </w:pPr>
      <w:r>
        <w:t xml:space="preserve">Local prototyping uses 4-bit QLoRA; the actual reported numbers come from the bf16 A100 run, so this should not affect headline metrics. Sanity check: any divergence between Day 1 dummy-pass numbers and Day 3 should be tiny.</w:t>
      </w:r>
    </w:p>
    <w:p>
      <w:pPr>
        <w:pStyle w:val="Heading3"/>
        <w:spacing w:after="120" w:before="240"/>
      </w:pPr>
      <w:r>
        <w:t xml:space="preserve">6.2 Effective batch size and gradient accumulation</w:t>
      </w:r>
    </w:p>
    <w:p>
      <w:pPr>
        <w:pStyle w:val="ListParagraph"/>
        <w:numPr>
          <w:ilvl w:val="0"/>
          <w:numId w:val="2"/>
        </w:numPr>
      </w:pPr>
      <w:r>
        <w:t xml:space="preserve">We use per_device 2 × accum 64 = effective 128. The authors' release uses </w:t>
      </w:r>
      <w:r>
        <w:rPr>
          <w:i/>
          <w:iCs/>
          <w:color w:val="C00000"/>
        </w:rPr>
        <w:t xml:space="preserve">[verify from FastChat config]</w:t>
      </w:r>
      <w:r>
        <w:t xml:space="preserve">. If different, optimization dynamics differ slightly which can shift Portability metrics by a few points.</w:t>
      </w:r>
    </w:p>
    <w:p>
      <w:pPr>
        <w:pStyle w:val="Heading3"/>
        <w:spacing w:after="120" w:before="240"/>
      </w:pPr>
      <w:r>
        <w:t xml:space="preserve">6.3 Eval split / dataset version</w:t>
      </w:r>
    </w:p>
    <w:p>
      <w:pPr>
        <w:pStyle w:val="ListParagraph"/>
        <w:numPr>
          <w:ilvl w:val="0"/>
          <w:numId w:val="2"/>
        </w:numPr>
      </w:pPr>
      <w:r>
        <w:t xml:space="preserve">We used the KnowEdit-bundled splits. ZsRE: 1,304 examples (verified Day 1). WikiData_counterfact: 885 examples. The paper reports on the same KnowEdit splits, so this should match.</w:t>
      </w:r>
    </w:p>
    <w:p>
      <w:pPr>
        <w:pStyle w:val="Heading3"/>
        <w:spacing w:after="120" w:before="240"/>
      </w:pPr>
      <w:r>
        <w:t xml:space="preserve">6.4 Retrieval encoder and memory bank size</w:t>
      </w:r>
    </w:p>
    <w:p>
      <w:pPr>
        <w:pStyle w:val="ListParagraph"/>
        <w:numPr>
          <w:ilvl w:val="0"/>
          <w:numId w:val="2"/>
        </w:numPr>
      </w:pPr>
      <w:r>
        <w:t xml:space="preserve">LTE inference retrieves from a memory bank using all-MiniLM-L6-v2. We populate the bank with the same edit set the eval iterates over. If the authors used a different encoder or larger bank, retrieval quality (and therefore Portability) would differ.</w:t>
      </w:r>
    </w:p>
    <w:p>
      <w:pPr>
        <w:pStyle w:val="Heading3"/>
        <w:spacing w:after="120" w:before="240"/>
      </w:pPr>
      <w:r>
        <w:t xml:space="preserve">6.5 Software versions</w:t>
      </w:r>
    </w:p>
    <w:p>
      <w:pPr>
        <w:pStyle w:val="ListParagraph"/>
        <w:numPr>
          <w:ilvl w:val="0"/>
          <w:numId w:val="2"/>
        </w:numPr>
      </w:pPr>
      <w:r>
        <w:t xml:space="preserve">transformers, peft, and bitsandbytes versions changed substantially since the paper. We pinned to </w:t>
      </w:r>
      <w:r>
        <w:rPr>
          <w:i/>
          <w:iCs/>
          <w:color w:val="C00000"/>
        </w:rPr>
        <w:t xml:space="preserve">[fill in `pip list | grep -E "transformers|peft|bitsandbytes"`]</w:t>
      </w:r>
      <w:r>
        <w:t xml:space="preserve">.</w:t>
      </w:r>
    </w:p>
    <w:p>
      <w:pPr>
        <w:pStyle w:val="Heading1"/>
        <w:spacing w:after="120" w:before="240"/>
      </w:pPr>
      <w:r>
        <w:t xml:space="preserve">7. Extension — LLaMA-3-8B inference-only</w:t>
      </w:r>
    </w:p>
    <w:p>
      <w:pPr>
        <w:spacing w:after="120"/>
      </w:pPr>
      <w:r>
        <w:t xml:space="preserve">We </w:t>
      </w:r>
      <w:r>
        <w:rPr>
          <w:i/>
          <w:iCs/>
          <w:color w:val="C00000"/>
        </w:rPr>
        <w:t xml:space="preserve">[did / did not]</w:t>
      </w:r>
      <w:r>
        <w:t xml:space="preserve"> apply the LTE-LoRA adapter (trained on LLaMA-2-Chat-7B) to LLaMA-3-8B-Instruct without re-training, to test how much of LTE's alignment generalizes across model generations.</w:t>
      </w:r>
    </w:p>
    <w:p>
      <w:pPr>
        <w:spacing w:after="120"/>
      </w:pPr>
      <w:r>
        <w:t xml:space="preserve">Hypothesis: Edit Success comparable, Locality differs because of LLaMA-3's different internal knowledge distribution. Result: </w:t>
      </w:r>
      <w:r>
        <w:rPr>
          <w:i/>
          <w:iCs/>
          <w:color w:val="C00000"/>
        </w:rPr>
        <w:t xml:space="preserve">[fill in if attempted]</w:t>
      </w:r>
      <w:r>
        <w:t xml:space="preserve">.</w:t>
      </w:r>
    </w:p>
    <w:p>
      <w:pPr>
        <w:pStyle w:val="Heading1"/>
        <w:spacing w:after="120" w:before="240"/>
      </w:pPr>
      <w:r>
        <w:t xml:space="preserve">8. Reproducibility checklist</w:t>
      </w:r>
    </w:p>
    <w:p>
      <w:pPr>
        <w:pStyle w:val="ListParagraph"/>
        <w:numPr>
          <w:ilvl w:val="0"/>
          <w:numId w:val="2"/>
        </w:numPr>
      </w:pPr>
      <w:r>
        <w:t xml:space="preserve">LoRA adapter saved to Drive (folder name: output_lte_lora_llama-2_7b_chat).</w:t>
      </w:r>
    </w:p>
    <w:p>
      <w:pPr>
        <w:pStyle w:val="ListParagraph"/>
        <w:numPr>
          <w:ilvl w:val="0"/>
          <w:numId w:val="2"/>
        </w:numPr>
      </w:pPr>
      <w:r>
        <w:t xml:space="preserve">Per-aspect raw JSON in EasyEdit/output/ (5 files for counterfact, 4 for ZsRE).</w:t>
      </w:r>
    </w:p>
    <w:p>
      <w:pPr>
        <w:pStyle w:val="ListParagraph"/>
        <w:numPr>
          <w:ilvl w:val="0"/>
          <w:numId w:val="2"/>
        </w:numPr>
      </w:pPr>
      <w:r>
        <w:t xml:space="preserve">Aggregated lte_lora_results.json copied into Table1_Replica.xlsx.</w:t>
      </w:r>
    </w:p>
    <w:p>
      <w:pPr>
        <w:pStyle w:val="ListParagraph"/>
        <w:numPr>
          <w:ilvl w:val="0"/>
          <w:numId w:val="2"/>
        </w:numPr>
      </w:pPr>
      <w:r>
        <w:t xml:space="preserve">ICE and ROME hparams: ran with the released llama-7b configs unchanged.</w:t>
      </w:r>
    </w:p>
    <w:p>
      <w:pPr>
        <w:pStyle w:val="ListParagraph"/>
        <w:numPr>
          <w:ilvl w:val="0"/>
          <w:numId w:val="2"/>
        </w:numPr>
      </w:pPr>
      <w:r>
        <w:t xml:space="preserve">Random seed: default (42 in EasyEdit).</w:t>
      </w:r>
    </w:p>
    <w:p>
      <w:pPr>
        <w:pStyle w:val="ListParagraph"/>
        <w:numPr>
          <w:ilvl w:val="0"/>
          <w:numId w:val="2"/>
        </w:numPr>
      </w:pPr>
      <w:r>
        <w:t xml:space="preserve">Code: this repo + the patched FastChat trainer (see Day 2 notebook Cell 3 for the diff).</w:t>
      </w:r>
    </w:p>
    <w:p>
      <w:pPr>
        <w:pStyle w:val="Heading1"/>
        <w:spacing w:after="120" w:before="240"/>
      </w:pPr>
      <w:r>
        <w:t xml:space="preserve">9. Conclusion</w:t>
      </w:r>
    </w:p>
    <w:p>
      <w:pPr>
        <w:spacing w:after="120"/>
      </w:pPr>
      <w:r>
        <w:t xml:space="preserve">On the two benchmarks we tested, our LTE-LoRA reproduction </w:t>
      </w:r>
      <w:r>
        <w:rPr>
          <w:i/>
          <w:iCs/>
          <w:color w:val="C00000"/>
        </w:rPr>
        <w:t xml:space="preserve">[broadly matches / partially matches / does not match]</w:t>
      </w:r>
      <w:r>
        <w:t xml:space="preserve"> the headline numbers from Jiang et al. 2024. The strongest agreement is on </w:t>
      </w:r>
      <w:r>
        <w:rPr>
          <w:i/>
          <w:iCs/>
          <w:color w:val="C00000"/>
        </w:rPr>
        <w:t xml:space="preserve">[Edit Success]</w:t>
      </w:r>
      <w:r>
        <w:t xml:space="preserve">; the largest gap is on </w:t>
      </w:r>
      <w:r>
        <w:rPr>
          <w:i/>
          <w:iCs/>
          <w:color w:val="C00000"/>
        </w:rPr>
        <w:t xml:space="preserve">[metric]</w:t>
      </w:r>
      <w:r>
        <w:t xml:space="preserve">, most likely caused by </w:t>
      </w:r>
      <w:r>
        <w:rPr>
          <w:i/>
          <w:iCs/>
          <w:color w:val="C00000"/>
        </w:rPr>
        <w:t xml:space="preserve">[chosen hypothesis from §6]</w:t>
      </w:r>
      <w:r>
        <w:t xml:space="preserve">. Overall the central claim of the paper — that an alignment-based approach can deliver near-perfect edit success while preserving locality — </w:t>
      </w:r>
      <w:r>
        <w:rPr>
          <w:i/>
          <w:iCs/>
          <w:color w:val="C00000"/>
        </w:rPr>
        <w:t xml:space="preserve">[holds / does not hold]</w:t>
      </w:r>
      <w:r>
        <w:t xml:space="preserve"> under our setup.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References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Jiang, Wang, Wu, Zhong, et al. "Learning to Edit: Aligning LLMs with Knowledge Editing." ACL 2024. arXiv:2402.11905v2.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Wang, Zhang, Xie, Yao, et al. "EasyEdit: An Easy-to-Use Knowledge Editing Framework for LLMs." ACL 2024 System Demos.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Levy, Seo, Choi, Zettlemoyer. "Zero-Shot Relation Extraction via Reading Comprehension." CoNLL 2017. (ZsRE)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Cohen, Biran, Yoran, Globerson, Geva. "Ripple Edits." EMNLP 2023. (WikiData_counterfact lineage)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Touvron et al. "LLaMA-2: Open Foundation and Fine-Tuned Chat Models." arXiv 2023.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LTE Reproducibility — Day 4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— Gap Analysis Template</dc:title>
  <dc:creator>LTE Reproducibility — Person B</dc:creator>
  <cp:lastModifiedBy>Un-named</cp:lastModifiedBy>
  <cp:revision>1</cp:revision>
  <dcterms:created xsi:type="dcterms:W3CDTF">2026-04-25T20:23:17.159Z</dcterms:created>
  <dcterms:modified xsi:type="dcterms:W3CDTF">2026-04-25T20:23:17.159Z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