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i w:val="0"/>
          <w:color w:val="2F5EAC"/>
          <w:sz w:val="16"/>
        </w:rPr>
        <w:t>PRÜFUNGS-HANDOUT | DATA ANALYTICS UND BIG DATA</w:t>
      </w:r>
    </w:p>
    <w:p>
      <w:pPr>
        <w:pStyle w:val="Title"/>
        <w:spacing w:after="100"/>
        <w:pBdr>
          <w:bottom w:val="single" w:sz="14" w:space="5" w:color="2F5EAC"/>
        </w:pBdr>
      </w:pPr>
      <w:r>
        <w:t>GridCast Europe</w:t>
      </w:r>
    </w:p>
    <w:p>
      <w:pPr>
        <w:spacing w:after="120"/>
      </w:pPr>
      <w:r>
        <w:rPr>
          <w:rFonts w:ascii="Arial" w:hAnsi="Arial"/>
          <w:b w:val="0"/>
          <w:i w:val="0"/>
          <w:color w:val="5B6573"/>
          <w:sz w:val="20"/>
        </w:rPr>
        <w:t>Stündliche Stromlastprognose und transparente Zukunftsszenarien für DE, FR und PL</w:t>
      </w:r>
    </w:p>
    <w:tbl>
      <w:tblPr>
        <w:tblStyle w:val="TableGrid"/>
        <w:tblW w:type="dxa" w:w="10261"/>
        <w:jc w:val="center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c>
          <w:tcPr>
            <w:tcW w:type="dxa" w:w="2267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Studierender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Matrikelnummer</w:t>
            </w:r>
          </w:p>
        </w:tc>
        <w:tc>
          <w:tcPr>
            <w:tcW w:type="dxa" w:w="3401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Prüfer</w:t>
            </w:r>
          </w:p>
        </w:tc>
        <w:tc>
          <w:tcPr>
            <w:tcW w:type="dxa" w:w="2777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Termin</w:t>
            </w:r>
          </w:p>
        </w:tc>
      </w:tr>
      <w:tr>
        <w:tc>
          <w:tcPr>
            <w:tcW w:type="dxa" w:w="2565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Tajan Biazevic</w:t>
            </w:r>
          </w:p>
        </w:tc>
        <w:tc>
          <w:tcPr>
            <w:tcW w:type="dxa" w:w="2565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10234562</w:t>
            </w:r>
          </w:p>
        </w:tc>
        <w:tc>
          <w:tcPr>
            <w:tcW w:type="dxa" w:w="2565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Prof. Dr. Klaus Quibeldey-Cirkel</w:t>
            </w:r>
          </w:p>
        </w:tc>
        <w:tc>
          <w:tcPr>
            <w:tcW w:type="dxa" w:w="2565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28.07.2026, 15:30</w:t>
            </w:r>
          </w:p>
        </w:tc>
      </w:tr>
    </w:tbl>
    <w:p>
      <w:pPr>
        <w:spacing w:after="0"/>
      </w:pPr>
    </w:p>
    <w:p>
      <w:pPr>
        <w:pStyle w:val="Heading2"/>
      </w:pPr>
      <w:r>
        <w:t>Q - Question: vom Problem zur prüfbaren Hypothese</w:t>
      </w:r>
    </w:p>
    <w:p>
      <w:pPr>
        <w:spacing w:after="84"/>
      </w:pPr>
      <w:r>
        <w:rPr>
          <w:rFonts w:ascii="Arial" w:hAnsi="Arial"/>
          <w:b w:val="0"/>
          <w:i w:val="0"/>
          <w:color w:val="111111"/>
          <w:sz w:val="18"/>
        </w:rPr>
        <w:t>Nach dem transparent dokumentierten Projektwechsel von WasteWise zu GridCast am 22.07.2026 wurde die Forschungsfrage ergebnisoffen festgelegt: Wie genau lässt sich die stündliche Stromlast ausgewählter europäischer Länder aus historischen Last-, Wetter- und Kalenderdaten für einen chronologisch späteren Zeitraum prognostizieren?</w:t>
      </w:r>
    </w:p>
    <w:tbl>
      <w:tblPr>
        <w:tblW w:type="dxa" w:w="10261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70" w:type="dxa"/>
              <w:start w:w="90" w:type="dxa"/>
              <w:bottom w:w="70" w:type="dxa"/>
              <w:end w:w="90" w:type="dxa"/>
            </w:tcMar>
            <w:shd w:fill="EAF1FB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Primäres Erfolgskriterium: </w:t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Makro-nMAE: Der MAE wird je Land durch dessen mittlere Last normalisiert und anschließend gleichgewichtet gemittelt. Das verhindert, dass Deutschland allein wegen seines höheren Lastniveaus den Modellvergleich dominiert.</w:t>
            </w:r>
          </w:p>
        </w:tc>
      </w:tr>
    </w:tbl>
    <w:p>
      <w:pPr>
        <w:spacing w:after="0"/>
      </w:pPr>
    </w:p>
    <w:p>
      <w:pPr>
        <w:pStyle w:val="Heading2"/>
      </w:pPr>
      <w:r>
        <w:t>Experimentdesign vor dem Modellvergleich</w:t>
      </w:r>
    </w:p>
    <w:tbl>
      <w:tblPr>
        <w:tblStyle w:val="TableGrid"/>
        <w:tblW w:type="dxa" w:w="10261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0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Baustein</w:t>
            </w:r>
          </w:p>
        </w:tc>
        <w:tc>
          <w:tcPr>
            <w:tcW w:type="dxa" w:w="3004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Festlegung</w:t>
            </w:r>
          </w:p>
        </w:tc>
        <w:tc>
          <w:tcPr>
            <w:tcW w:type="dxa" w:w="5555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Begründung</w:t>
            </w:r>
          </w:p>
        </w:tc>
      </w:tr>
      <w:tr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Scope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Deutschland, Frankreich, Polen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Drei unterschiedlich große Stromsysteme; fachlich prüfbarer Umfang</w:t>
            </w:r>
          </w:p>
        </w:tc>
      </w:tr>
      <w:tr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Zeit-Split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2015-2017 / 2018 / 2019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Training / Auswahl / genau einmaliger Test</w:t>
            </w:r>
          </w:p>
        </w:tc>
      </w:tr>
      <w:tr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Baselines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Ländermittelwert; Kalenderprofil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Mehrwert muss einfache Verfahren schlagen</w:t>
            </w:r>
          </w:p>
        </w:tc>
      </w:tr>
      <w:tr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Kandidaten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Ridge; Histogram Gradient Boosting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Interpretierbare lineare und flexible nichtlineare Familie</w:t>
            </w:r>
          </w:p>
        </w:tc>
      </w:tr>
      <w:tr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Praktisches Ziel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mind. 5 % besser als Kalender-Baseline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Relevanz zusätzlich zur bloßen statistischen Verbesserung</w:t>
            </w:r>
          </w:p>
        </w:tc>
      </w:tr>
    </w:tbl>
    <w:p>
      <w:pPr>
        <w:spacing w:after="0"/>
      </w:pPr>
    </w:p>
    <w:p>
      <w:pPr>
        <w:pStyle w:val="Heading2"/>
      </w:pPr>
      <w:r>
        <w:t>Hypothesen und Schutz vor Leakage</w:t>
      </w:r>
    </w:p>
    <w:p>
      <w:pPr>
        <w:spacing w:after="50"/>
        <w:ind w:left="272" w:hanging="159"/>
      </w:pPr>
      <w:r>
        <w:rPr>
          <w:rFonts w:ascii="Arial" w:hAnsi="Arial"/>
          <w:b/>
          <w:i w:val="0"/>
          <w:color w:val="2F5EAC"/>
          <w:sz w:val="18"/>
        </w:rPr>
        <w:t xml:space="preserve">• </w:t>
      </w:r>
      <w:r>
        <w:rPr>
          <w:rFonts w:ascii="Arial" w:hAnsi="Arial"/>
          <w:b w:val="0"/>
          <w:i w:val="0"/>
          <w:color w:val="111111"/>
          <w:sz w:val="18"/>
        </w:rPr>
        <w:t>Kalenderstruktur schlägt den konstanten Ländermittelwert.</w:t>
      </w:r>
    </w:p>
    <w:p>
      <w:pPr>
        <w:spacing w:after="50"/>
        <w:ind w:left="272" w:hanging="159"/>
      </w:pPr>
      <w:r>
        <w:rPr>
          <w:rFonts w:ascii="Arial" w:hAnsi="Arial"/>
          <w:b/>
          <w:i w:val="0"/>
          <w:color w:val="2F5EAC"/>
          <w:sz w:val="18"/>
        </w:rPr>
        <w:t xml:space="preserve">• </w:t>
      </w:r>
      <w:r>
        <w:rPr>
          <w:rFonts w:ascii="Arial" w:hAnsi="Arial"/>
          <w:b w:val="0"/>
          <w:i w:val="0"/>
          <w:color w:val="111111"/>
          <w:sz w:val="18"/>
        </w:rPr>
        <w:t>Wetter- und Feiertagsmerkmale verbessern ein rein kalenderbasiertes Modell.</w:t>
      </w:r>
    </w:p>
    <w:p>
      <w:pPr>
        <w:spacing w:after="50"/>
        <w:ind w:left="272" w:hanging="159"/>
      </w:pPr>
      <w:r>
        <w:rPr>
          <w:rFonts w:ascii="Arial" w:hAnsi="Arial"/>
          <w:b/>
          <w:i w:val="0"/>
          <w:color w:val="2F5EAC"/>
          <w:sz w:val="18"/>
        </w:rPr>
        <w:t xml:space="preserve">• </w:t>
      </w:r>
      <w:r>
        <w:rPr>
          <w:rFonts w:ascii="Arial" w:hAnsi="Arial"/>
          <w:b w:val="0"/>
          <w:i w:val="0"/>
          <w:color w:val="111111"/>
          <w:sz w:val="18"/>
        </w:rPr>
        <w:t>Die in A³ auf 2018 ausgewählte Konfiguration generalisiert auf das unangetastete Jahr 2019.</w:t>
      </w:r>
    </w:p>
    <w:p>
      <w:pPr>
        <w:spacing w:after="50"/>
        <w:ind w:left="272" w:hanging="159"/>
      </w:pPr>
      <w:r>
        <w:rPr>
          <w:rFonts w:ascii="Arial" w:hAnsi="Arial"/>
          <w:b/>
          <w:i w:val="0"/>
          <w:color w:val="2F5EAC"/>
          <w:sz w:val="18"/>
        </w:rPr>
        <w:t xml:space="preserve">• </w:t>
      </w:r>
      <w:r>
        <w:rPr>
          <w:rFonts w:ascii="Arial" w:hAnsi="Arial"/>
          <w:b w:val="0"/>
          <w:i w:val="0"/>
          <w:color w:val="111111"/>
          <w:sz w:val="18"/>
        </w:rPr>
        <w:t>Zukunftsszenarien werden als konditionale Was-wäre-wenn-Rechnung ausgewiesen, nicht als konkrete Wetter- oder Blackout-Prognose.</w:t>
      </w:r>
    </w:p>
    <w:tbl>
      <w:tblPr>
        <w:tblW w:type="dxa" w:w="10261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70" w:type="dxa"/>
              <w:start w:w="90" w:type="dxa"/>
              <w:bottom w:w="70" w:type="dxa"/>
              <w:end w:w="90" w:type="dxa"/>
            </w:tcMar>
            <w:shd w:fill="F5F8F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Transparenz: </w:t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Das Q-Notebook wurde nach dem Pivot nachgezogen und kennzeichnet diese Chronologie offen. Die späteren U-Ergebnisse werden dort nur als nachgelagerter Status geführt.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i w:val="0"/>
          <w:color w:val="2F5EAC"/>
          <w:sz w:val="16"/>
        </w:rPr>
        <w:t>QUA3CK-PHASE 2</w:t>
      </w:r>
    </w:p>
    <w:p>
      <w:pPr>
        <w:pStyle w:val="Title"/>
        <w:spacing w:after="100"/>
        <w:pBdr>
          <w:bottom w:val="single" w:sz="14" w:space="5" w:color="2F5EAC"/>
        </w:pBdr>
      </w:pPr>
      <w:r>
        <w:t>U - Understanding the Data</w:t>
      </w:r>
    </w:p>
    <w:p>
      <w:pPr>
        <w:spacing w:after="120"/>
      </w:pPr>
      <w:r>
        <w:rPr>
          <w:rFonts w:ascii="Arial" w:hAnsi="Arial"/>
          <w:b w:val="0"/>
          <w:i w:val="0"/>
          <w:color w:val="5B6573"/>
          <w:sz w:val="20"/>
        </w:rPr>
        <w:t>Datenqualität, Joinbarkeit und Muster vor der Modellierung</w:t>
      </w:r>
    </w:p>
    <w:p>
      <w:pPr>
        <w:spacing w:after="84"/>
      </w:pPr>
      <w:r>
        <w:rPr>
          <w:rFonts w:ascii="Arial" w:hAnsi="Arial"/>
          <w:b w:val="0"/>
          <w:i w:val="0"/>
          <w:color w:val="111111"/>
          <w:sz w:val="18"/>
        </w:rPr>
        <w:t>Die Last- und Wetterdaten stammen aus den offenen OPSD-Paketen. Die Pipeline liest nur benötigte Spalten, vereinheitlicht Zeitstempel in UTC, erzeugt lokale Kalendermerkmale und verknüpft Land und Stunde über einen abgesicherten 1:1-Join.</w:t>
      </w:r>
    </w:p>
    <w:tbl>
      <w:tblPr>
        <w:tblStyle w:val="TableGrid"/>
        <w:tblW w:type="dxa" w:w="10261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4308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Prüfschritt</w:t>
            </w:r>
          </w:p>
        </w:tc>
        <w:tc>
          <w:tcPr>
            <w:tcW w:type="dxa" w:w="5952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Ergebnis</w:t>
            </w:r>
          </w:p>
        </w:tc>
      </w:tr>
      <w:tr>
        <w:tc>
          <w:tcPr>
            <w:tcW w:type="dxa" w:w="513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Mögliche Länder-Stunden</w:t>
            </w:r>
          </w:p>
        </w:tc>
        <w:tc>
          <w:tcPr>
            <w:tcW w:type="dxa" w:w="513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131.472</w:t>
            </w:r>
          </w:p>
        </w:tc>
      </w:tr>
      <w:tr>
        <w:tc>
          <w:tcPr>
            <w:tcW w:type="dxa" w:w="513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Nutzbare Modellzeilen</w:t>
            </w:r>
          </w:p>
        </w:tc>
        <w:tc>
          <w:tcPr>
            <w:tcW w:type="dxa" w:w="513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131.441</w:t>
            </w:r>
          </w:p>
        </w:tc>
      </w:tr>
      <w:tr>
        <w:tc>
          <w:tcPr>
            <w:tcW w:type="dxa" w:w="513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Entfernte fehlende Lastwerte</w:t>
            </w:r>
          </w:p>
        </w:tc>
        <w:tc>
          <w:tcPr>
            <w:tcW w:type="dxa" w:w="513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31 (DE: 0, FR: 30, PL: 1)</w:t>
            </w:r>
          </w:p>
        </w:tc>
      </w:tr>
      <w:tr>
        <w:tc>
          <w:tcPr>
            <w:tcW w:type="dxa" w:w="513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Doppelte Land-Zeit-Schlüssel</w:t>
            </w:r>
          </w:p>
        </w:tc>
        <w:tc>
          <w:tcPr>
            <w:tcW w:type="dxa" w:w="513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0</w:t>
            </w:r>
          </w:p>
        </w:tc>
      </w:tr>
      <w:tr>
        <w:tc>
          <w:tcPr>
            <w:tcW w:type="dxa" w:w="513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Wetterabdeckung 2015-2019</w:t>
            </w:r>
          </w:p>
        </w:tc>
        <w:tc>
          <w:tcPr>
            <w:tcW w:type="dxa" w:w="513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vollständig für die verwendeten Features</w:t>
            </w:r>
          </w:p>
        </w:tc>
      </w:tr>
      <w:tr>
        <w:tc>
          <w:tcPr>
            <w:tcW w:type="dxa" w:w="513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Klimatologie</w:t>
            </w:r>
          </w:p>
        </w:tc>
        <w:tc>
          <w:tcPr>
            <w:tcW w:type="dxa" w:w="513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1980-2019; 864 Zeilen = Land x Monat x lokale Stunde</w:t>
            </w:r>
          </w:p>
        </w:tc>
      </w:tr>
    </w:tbl>
    <w:p>
      <w:pPr>
        <w:spacing w:after="0"/>
      </w:pPr>
    </w:p>
    <w:p>
      <w:pPr>
        <w:spacing w:after="30"/>
        <w:jc w:val="center"/>
      </w:pPr>
      <w:r>
        <w:drawing>
          <wp:inline xmlns:a="http://schemas.openxmlformats.org/drawingml/2006/main" xmlns:pic="http://schemas.openxmlformats.org/drawingml/2006/picture">
            <wp:extent cx="6048000" cy="2681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ta_import_merge_eda_cell22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68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hAnsi="Arial"/>
          <w:b w:val="0"/>
          <w:i/>
          <w:color w:val="5B6573"/>
          <w:sz w:val="15"/>
        </w:rPr>
        <w:t>Mittleres Tageslastprofil: deutliche Tageszyklen und länderspezifische Lastniveaus.</w:t>
      </w:r>
    </w:p>
    <w:p>
      <w:pPr>
        <w:pStyle w:val="Heading2"/>
      </w:pPr>
      <w:r>
        <w:t>Feature Engineering</w:t>
      </w:r>
    </w:p>
    <w:p>
      <w:pPr>
        <w:spacing w:after="40"/>
        <w:ind w:left="272" w:hanging="159"/>
      </w:pPr>
      <w:r>
        <w:rPr>
          <w:rFonts w:ascii="Arial" w:hAnsi="Arial"/>
          <w:b/>
          <w:i w:val="0"/>
          <w:color w:val="2F5EAC"/>
          <w:sz w:val="17"/>
        </w:rPr>
        <w:t xml:space="preserve">• </w:t>
      </w:r>
      <w:r>
        <w:rPr>
          <w:rFonts w:ascii="Arial" w:hAnsi="Arial"/>
          <w:b w:val="0"/>
          <w:i w:val="0"/>
          <w:color w:val="111111"/>
          <w:sz w:val="17"/>
        </w:rPr>
        <w:t>Kalender: lokale Stunde, Wochentag, Monat, Saison, Wochenende und nationale Feiertage.</w:t>
      </w:r>
    </w:p>
    <w:p>
      <w:pPr>
        <w:spacing w:after="40"/>
        <w:ind w:left="272" w:hanging="159"/>
      </w:pPr>
      <w:r>
        <w:rPr>
          <w:rFonts w:ascii="Arial" w:hAnsi="Arial"/>
          <w:b/>
          <w:i w:val="0"/>
          <w:color w:val="2F5EAC"/>
          <w:sz w:val="17"/>
        </w:rPr>
        <w:t xml:space="preserve">• </w:t>
      </w:r>
      <w:r>
        <w:rPr>
          <w:rFonts w:ascii="Arial" w:hAnsi="Arial"/>
          <w:b w:val="0"/>
          <w:i w:val="0"/>
          <w:color w:val="111111"/>
          <w:sz w:val="17"/>
        </w:rPr>
        <w:t>Zyklische Kodierung: Sinus/Cosinus für Stunde, Wochentag und Monat.</w:t>
      </w:r>
    </w:p>
    <w:p>
      <w:pPr>
        <w:spacing w:after="40"/>
        <w:ind w:left="272" w:hanging="159"/>
      </w:pPr>
      <w:r>
        <w:rPr>
          <w:rFonts w:ascii="Arial" w:hAnsi="Arial"/>
          <w:b/>
          <w:i w:val="0"/>
          <w:color w:val="2F5EAC"/>
          <w:sz w:val="17"/>
        </w:rPr>
        <w:t xml:space="preserve">• </w:t>
      </w:r>
      <w:r>
        <w:rPr>
          <w:rFonts w:ascii="Arial" w:hAnsi="Arial"/>
          <w:b w:val="0"/>
          <w:i w:val="0"/>
          <w:color w:val="111111"/>
          <w:sz w:val="17"/>
        </w:rPr>
        <w:t>Wetter: Temperatur, Temperaturquadrat, Heating/Cooling Degrees sowie direkte und diffuse Strahlung.</w:t>
      </w:r>
    </w:p>
    <w:p>
      <w:pPr>
        <w:spacing w:after="40"/>
        <w:ind w:left="272" w:hanging="159"/>
      </w:pPr>
      <w:r>
        <w:rPr>
          <w:rFonts w:ascii="Arial" w:hAnsi="Arial"/>
          <w:b/>
          <w:i w:val="0"/>
          <w:color w:val="2F5EAC"/>
          <w:sz w:val="17"/>
        </w:rPr>
        <w:t xml:space="preserve">• </w:t>
      </w:r>
      <w:r>
        <w:rPr>
          <w:rFonts w:ascii="Arial" w:hAnsi="Arial"/>
          <w:b w:val="0"/>
          <w:i w:val="0"/>
          <w:color w:val="111111"/>
          <w:sz w:val="17"/>
        </w:rPr>
        <w:t>Land: kategoriale Kodierung; Zielskalierung je Land innerhalb der Modellpipeline.</w:t>
      </w:r>
    </w:p>
    <w:tbl>
      <w:tblPr>
        <w:tblW w:type="dxa" w:w="10261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70" w:type="dxa"/>
              <w:start w:w="90" w:type="dxa"/>
              <w:bottom w:w="70" w:type="dxa"/>
              <w:end w:w="90" w:type="dxa"/>
            </w:tcMar>
            <w:shd w:fill="EAF1FB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Zentrale Erkenntnis: </w:t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Last zeigt starke Tages-, Wochen- und Saisonmuster. Temperatur wirkt nichtlinear; Frankreich reagiert besonders deutlich auf kalte Bedingungen. Die drei Länder sollten daher gemeinsam, aber ländersensitiv modelliert werden.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rFonts w:ascii="Arial" w:hAnsi="Arial"/>
          <w:b w:val="0"/>
          <w:i w:val="0"/>
          <w:color w:val="111111"/>
          <w:sz w:val="18"/>
        </w:rPr>
        <w:t>Reproduzierbarkeit: Das ausgeführte U-Notebook enthält Import, Bereinigung, Join, EDA, zehn Diagramme und die Speicherung der verarbeiteten Daten. Rohdaten bleiben wegen ihrer Größe außerhalb von Git und sind per Downloadskript reproduzierbar.</w:t>
      </w: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i w:val="0"/>
          <w:color w:val="2F5EAC"/>
          <w:sz w:val="16"/>
        </w:rPr>
        <w:t>QUA3CK-PHASE 3</w:t>
      </w:r>
    </w:p>
    <w:p>
      <w:pPr>
        <w:pStyle w:val="Title"/>
        <w:spacing w:after="100"/>
        <w:pBdr>
          <w:bottom w:val="single" w:sz="14" w:space="5" w:color="2F5EAC"/>
        </w:pBdr>
      </w:pPr>
      <w:r>
        <w:t>A³ - Algorithmus, Attribute, Ausprägung</w:t>
      </w:r>
    </w:p>
    <w:p>
      <w:pPr>
        <w:spacing w:after="120"/>
      </w:pPr>
      <w:r>
        <w:rPr>
          <w:rFonts w:ascii="Arial" w:hAnsi="Arial"/>
          <w:b w:val="0"/>
          <w:i w:val="0"/>
          <w:color w:val="5B6573"/>
          <w:sz w:val="20"/>
        </w:rPr>
        <w:t>Modellentwicklung ausschließlich auf Training 2015-2017 und Validierung 2018</w:t>
      </w:r>
    </w:p>
    <w:p>
      <w:pPr>
        <w:spacing w:after="84"/>
      </w:pPr>
      <w:r>
        <w:rPr>
          <w:rFonts w:ascii="Arial" w:hAnsi="Arial"/>
          <w:b w:val="0"/>
          <w:i w:val="0"/>
          <w:color w:val="111111"/>
          <w:sz w:val="18"/>
        </w:rPr>
        <w:t>A³ untersuchte nicht nur Modellklassen, sondern auch Featuregruppen und Hyperparameter. Das Testjahr 2019 wurde weder geladen noch zur Auswahl verwendet.</w:t>
      </w:r>
    </w:p>
    <w:tbl>
      <w:tblPr>
        <w:tblStyle w:val="TableGrid"/>
        <w:tblW w:type="dxa" w:w="10261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Modell auf Validierung 2018</w:t>
            </w:r>
          </w:p>
        </w:tc>
        <w:tc>
          <w:tcPr>
            <w:tcW w:type="dxa" w:w="1700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Makro-nMAE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Einordnung</w:t>
            </w:r>
          </w:p>
        </w:tc>
      </w:tr>
      <w:tr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Ländermittelwert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15,97 %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zu grob; ignoriert Zeitstruktur</w:t>
            </w:r>
          </w:p>
        </w:tc>
      </w:tr>
      <w:tr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Kalender-Baseline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5,76 %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starke verpflichtende Referenz</w:t>
            </w:r>
          </w:p>
        </w:tc>
      </w:tr>
      <w:tr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Ridge (beste Validierung)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4,98 %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interpretierbar, aber begrenzt nichtlinear</w:t>
            </w:r>
          </w:p>
        </w:tc>
      </w:tr>
      <w:tr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HGB + Kalender + Feiertag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4,83 %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leichte Verbesserung</w:t>
            </w:r>
          </w:p>
        </w:tc>
      </w:tr>
      <w:tr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HGB + Kalender + Feiertag + Wetter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3,31 %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Gewinner; 42,5 % besser als Kalender-Baseline</w:t>
            </w:r>
          </w:p>
        </w:tc>
      </w:tr>
    </w:tbl>
    <w:p>
      <w:pPr>
        <w:spacing w:after="0"/>
      </w:pPr>
    </w:p>
    <w:p>
      <w:pPr>
        <w:spacing w:after="30"/>
        <w:jc w:val="center"/>
      </w:pPr>
      <w:r>
        <w:drawing>
          <wp:inline xmlns:a="http://schemas.openxmlformats.org/drawingml/2006/main" xmlns:pic="http://schemas.openxmlformats.org/drawingml/2006/picture">
            <wp:extent cx="6083999" cy="29474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3_model_development_cell21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2947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hAnsi="Arial"/>
          <w:b w:val="0"/>
          <w:i/>
          <w:color w:val="5B6573"/>
          <w:sz w:val="15"/>
        </w:rPr>
        <w:t>Modellauswahl auf 2018: Wetter und nichtlineares Boosting liefern den größten Zusatznutzen.</w:t>
      </w:r>
    </w:p>
    <w:p>
      <w:pPr>
        <w:pStyle w:val="Heading2"/>
      </w:pPr>
      <w:r>
        <w:t>Eingefrorene Gewinnerkonfiguration</w:t>
      </w:r>
    </w:p>
    <w:tbl>
      <w:tblPr>
        <w:tblStyle w:val="TableGrid"/>
        <w:tblW w:type="dxa" w:w="10261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Parameter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Wert</w:t>
            </w:r>
          </w:p>
        </w:tc>
        <w:tc>
          <w:tcPr>
            <w:tcW w:type="dxa" w:w="5385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Funktion</w:t>
            </w:r>
          </w:p>
        </w:tc>
      </w:tr>
      <w:tr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Lernrate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0,1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Schrittweite je Boosting-Iteration</w:t>
            </w:r>
          </w:p>
        </w:tc>
      </w:tr>
      <w:tr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Blattknoten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127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Modellkomplexität</w:t>
            </w:r>
          </w:p>
        </w:tc>
      </w:tr>
      <w:tr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Iterationen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300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Anzahl Boosting-Schritte</w:t>
            </w:r>
          </w:p>
        </w:tc>
      </w:tr>
      <w:tr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Min. Beobachtungen je Blatt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80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Schutz vor Überanpassung</w:t>
            </w:r>
          </w:p>
        </w:tc>
      </w:tr>
      <w:tr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L2-Regularisierung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1,0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Glättung</w:t>
            </w:r>
          </w:p>
        </w:tc>
      </w:tr>
    </w:tbl>
    <w:p>
      <w:pPr>
        <w:spacing w:after="0"/>
      </w:pPr>
    </w:p>
    <w:p>
      <w:pPr>
        <w:pStyle w:val="Heading2"/>
      </w:pPr>
      <w:r>
        <w:t>Validierungsbefund</w:t>
      </w:r>
    </w:p>
    <w:p>
      <w:pPr>
        <w:spacing w:after="40"/>
        <w:ind w:left="272" w:hanging="159"/>
      </w:pPr>
      <w:r>
        <w:rPr>
          <w:rFonts w:ascii="Arial" w:hAnsi="Arial"/>
          <w:b/>
          <w:i w:val="0"/>
          <w:color w:val="2F5EAC"/>
          <w:sz w:val="17"/>
        </w:rPr>
        <w:t xml:space="preserve">• </w:t>
      </w:r>
      <w:r>
        <w:rPr>
          <w:rFonts w:ascii="Arial" w:hAnsi="Arial"/>
          <w:b w:val="0"/>
          <w:i w:val="0"/>
          <w:color w:val="111111"/>
          <w:sz w:val="17"/>
        </w:rPr>
        <w:t>Länderspezifischer nMAE: DE 3,01 %, FR 3,18 %, PL 3,74 %.</w:t>
      </w:r>
    </w:p>
    <w:p>
      <w:pPr>
        <w:spacing w:after="40"/>
        <w:ind w:left="272" w:hanging="159"/>
      </w:pPr>
      <w:r>
        <w:rPr>
          <w:rFonts w:ascii="Arial" w:hAnsi="Arial"/>
          <w:b/>
          <w:i w:val="0"/>
          <w:color w:val="2F5EAC"/>
          <w:sz w:val="17"/>
        </w:rPr>
        <w:t xml:space="preserve">• </w:t>
      </w:r>
      <w:r>
        <w:rPr>
          <w:rFonts w:ascii="Arial" w:hAnsi="Arial"/>
          <w:b w:val="0"/>
          <w:i w:val="0"/>
          <w:color w:val="111111"/>
          <w:sz w:val="17"/>
        </w:rPr>
        <w:t>H2, H4 und H5 wurden auf 2018 gestützt; H3 blieb bis zur C-Phase offen.</w:t>
      </w:r>
    </w:p>
    <w:p>
      <w:pPr>
        <w:spacing w:after="40"/>
        <w:ind w:left="272" w:hanging="159"/>
      </w:pPr>
      <w:r>
        <w:rPr>
          <w:rFonts w:ascii="Arial" w:hAnsi="Arial"/>
          <w:b/>
          <w:i w:val="0"/>
          <w:color w:val="2F5EAC"/>
          <w:sz w:val="17"/>
        </w:rPr>
        <w:t xml:space="preserve">• </w:t>
      </w:r>
      <w:r>
        <w:rPr>
          <w:rFonts w:ascii="Arial" w:hAnsi="Arial"/>
          <w:b w:val="0"/>
          <w:i w:val="0"/>
          <w:color w:val="111111"/>
          <w:sz w:val="17"/>
        </w:rPr>
        <w:t>Mehr Daten können helfen, aber ein niedrigerer Fehler ist nicht automatisch kausal nur durch zusätzliche Jahre erklärt.</w:t>
      </w:r>
    </w:p>
    <w:tbl>
      <w:tblPr>
        <w:tblW w:type="dxa" w:w="10261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70" w:type="dxa"/>
              <w:start w:w="90" w:type="dxa"/>
              <w:bottom w:w="70" w:type="dxa"/>
              <w:end w:w="90" w:type="dxa"/>
            </w:tcMar>
            <w:shd w:fill="EAF1FB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Entscheidungsregel: </w:t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Nach der 2018-Auswahl wurden Modellfamilie, Features und Hyperparameter eingefroren. In C durfte das Testjahr nur noch bewerten, nicht mehr optimieren.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i w:val="0"/>
          <w:color w:val="2F5EAC"/>
          <w:sz w:val="16"/>
        </w:rPr>
        <w:t>QUA3CK-PHASE 4</w:t>
      </w:r>
    </w:p>
    <w:p>
      <w:pPr>
        <w:pStyle w:val="Title"/>
        <w:spacing w:after="100"/>
        <w:pBdr>
          <w:bottom w:val="single" w:sz="14" w:space="5" w:color="2F5EAC"/>
        </w:pBdr>
      </w:pPr>
      <w:r>
        <w:t>C - Conclude &amp; Compare</w:t>
      </w:r>
    </w:p>
    <w:p>
      <w:pPr>
        <w:spacing w:after="120"/>
      </w:pPr>
      <w:r>
        <w:rPr>
          <w:rFonts w:ascii="Arial" w:hAnsi="Arial"/>
          <w:b w:val="0"/>
          <w:i w:val="0"/>
          <w:color w:val="5B6573"/>
          <w:sz w:val="20"/>
        </w:rPr>
        <w:t>Einmalige Generalisierungsprüfung auf dem zuvor unangetasteten Jahr 2019</w:t>
      </w:r>
    </w:p>
    <w:p>
      <w:pPr>
        <w:spacing w:after="84"/>
      </w:pPr>
      <w:r>
        <w:rPr>
          <w:rFonts w:ascii="Arial" w:hAnsi="Arial"/>
          <w:b w:val="0"/>
          <w:i w:val="0"/>
          <w:color w:val="111111"/>
          <w:sz w:val="18"/>
        </w:rPr>
        <w:t>Die eingefrorene HGB-Konfiguration und beide Baselines wurden auf 2015-2018 refittet. Danach wurde 2019 genau einmal geöffnet. Der Modellvergleich berücksichtigt neben Genauigkeit auch Interpretierbarkeit, Laufzeit, Wartbarkeit und Einsatzfähigkeit.</w:t>
      </w:r>
    </w:p>
    <w:p>
      <w:pPr>
        <w:spacing w:after="30"/>
        <w:jc w:val="center"/>
      </w:pPr>
      <w:r>
        <w:drawing>
          <wp:inline xmlns:a="http://schemas.openxmlformats.org/drawingml/2006/main" xmlns:pic="http://schemas.openxmlformats.org/drawingml/2006/picture">
            <wp:extent cx="6083999" cy="30024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clude_compare_cell9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002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hAnsi="Arial"/>
          <w:b w:val="0"/>
          <w:i/>
          <w:color w:val="5B6573"/>
          <w:sz w:val="15"/>
        </w:rPr>
        <w:t>Unangetasteter Test 2019: Das finale HGB-Modell bleibt deutlich vor beiden Baselines.</w:t>
      </w:r>
    </w:p>
    <w:tbl>
      <w:tblPr>
        <w:tblStyle w:val="TableGrid"/>
        <w:tblW w:type="dxa" w:w="10261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4705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Modell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Makro-nMAE 2019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Verbesserung vs. Kalender</w:t>
            </w:r>
          </w:p>
        </w:tc>
      </w:tr>
      <w:tr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Ländermittelwert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15,64 %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-</w:t>
            </w:r>
          </w:p>
        </w:tc>
      </w:tr>
      <w:tr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Kalender-Baseline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4,88 %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Referenz</w:t>
            </w:r>
          </w:p>
        </w:tc>
      </w:tr>
      <w:tr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HGB + Feiertag + Wetter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2,71 %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44,5 %</w:t>
            </w:r>
          </w:p>
        </w:tc>
      </w:tr>
    </w:tbl>
    <w:p>
      <w:pPr>
        <w:spacing w:after="0"/>
      </w:pPr>
    </w:p>
    <w:p>
      <w:pPr>
        <w:pStyle w:val="Heading2"/>
      </w:pPr>
      <w:r>
        <w:t>Ergebnis nach Land</w:t>
      </w:r>
    </w:p>
    <w:tbl>
      <w:tblPr>
        <w:tblStyle w:val="TableGrid"/>
        <w:tblW w:type="dxa" w:w="10261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2267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Land</w:t>
            </w:r>
          </w:p>
        </w:tc>
        <w:tc>
          <w:tcPr>
            <w:tcW w:type="dxa" w:w="1927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nMAE 2019</w:t>
            </w:r>
          </w:p>
        </w:tc>
        <w:tc>
          <w:tcPr>
            <w:tcW w:type="dxa" w:w="6066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Kurzinterpretation</w:t>
            </w:r>
          </w:p>
        </w:tc>
      </w:tr>
      <w:tr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Deutschland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2,49 %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niedrigster relativer Fehler</w:t>
            </w:r>
          </w:p>
        </w:tc>
      </w:tr>
      <w:tr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Frankreich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2,91 %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relativ schwierig; März/Frühling auffällig</w:t>
            </w:r>
          </w:p>
        </w:tc>
      </w:tr>
      <w:tr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Polen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2,71 %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stabile Generalisierung</w:t>
            </w:r>
          </w:p>
        </w:tc>
      </w:tr>
    </w:tbl>
    <w:p>
      <w:pPr>
        <w:spacing w:after="0"/>
      </w:pPr>
    </w:p>
    <w:tbl>
      <w:tblPr>
        <w:tblW w:type="dxa" w:w="10261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70" w:type="dxa"/>
              <w:start w:w="90" w:type="dxa"/>
              <w:bottom w:w="70" w:type="dxa"/>
              <w:end w:w="90" w:type="dxa"/>
            </w:tcMar>
            <w:shd w:fill="EAF1FB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Schlussfolgerung: </w:t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H3 und das praktische 5-%-Ziel sind bestätigt. Der Testfehler sank gegenüber der Validierung von 3,31 % auf 2,71 %. Das ist ein positiver Projektbefund, aber keine Garantie, dass jedes zusätzliche Jahr den Fehler monoton senkt.</w:t>
            </w:r>
          </w:p>
        </w:tc>
      </w:tr>
    </w:tbl>
    <w:p>
      <w:pPr>
        <w:spacing w:after="0"/>
      </w:pPr>
    </w:p>
    <w:p>
      <w:pPr>
        <w:pStyle w:val="Heading2"/>
      </w:pPr>
      <w:r>
        <w:t>Grenzen der Aussage</w:t>
      </w:r>
    </w:p>
    <w:p>
      <w:pPr>
        <w:spacing w:after="40"/>
        <w:ind w:left="272" w:hanging="159"/>
      </w:pPr>
      <w:r>
        <w:rPr>
          <w:rFonts w:ascii="Arial" w:hAnsi="Arial"/>
          <w:b/>
          <w:i w:val="0"/>
          <w:color w:val="2F5EAC"/>
          <w:sz w:val="17"/>
        </w:rPr>
        <w:t xml:space="preserve">• </w:t>
      </w:r>
      <w:r>
        <w:rPr>
          <w:rFonts w:ascii="Arial" w:hAnsi="Arial"/>
          <w:b w:val="0"/>
          <w:i w:val="0"/>
          <w:color w:val="111111"/>
          <w:sz w:val="17"/>
        </w:rPr>
        <w:t>Reanalysewetter ist im historischen Backtest bekannt und entspricht nicht einer operativen Wettervorhersage.</w:t>
      </w:r>
    </w:p>
    <w:p>
      <w:pPr>
        <w:spacing w:after="40"/>
        <w:ind w:left="272" w:hanging="159"/>
      </w:pPr>
      <w:r>
        <w:rPr>
          <w:rFonts w:ascii="Arial" w:hAnsi="Arial"/>
          <w:b/>
          <w:i w:val="0"/>
          <w:color w:val="2F5EAC"/>
          <w:sz w:val="17"/>
        </w:rPr>
        <w:t xml:space="preserve">• </w:t>
      </w:r>
      <w:r>
        <w:rPr>
          <w:rFonts w:ascii="Arial" w:hAnsi="Arial"/>
          <w:b w:val="0"/>
          <w:i w:val="0"/>
          <w:color w:val="111111"/>
          <w:sz w:val="17"/>
        </w:rPr>
        <w:t>Der Scope umfasst nur DE, FR und PL sowie Lastdaten 2015-2019.</w:t>
      </w:r>
    </w:p>
    <w:p>
      <w:pPr>
        <w:spacing w:after="40"/>
        <w:ind w:left="272" w:hanging="159"/>
      </w:pPr>
      <w:r>
        <w:rPr>
          <w:rFonts w:ascii="Arial" w:hAnsi="Arial"/>
          <w:b/>
          <w:i w:val="0"/>
          <w:color w:val="2F5EAC"/>
          <w:sz w:val="17"/>
        </w:rPr>
        <w:t xml:space="preserve">• </w:t>
      </w:r>
      <w:r>
        <w:rPr>
          <w:rFonts w:ascii="Arial" w:hAnsi="Arial"/>
          <w:b w:val="0"/>
          <w:i w:val="0"/>
          <w:color w:val="111111"/>
          <w:sz w:val="17"/>
        </w:rPr>
        <w:t>Das nach dem Test auf 2015-2019 refittete App-Modell besitzt keine neue unabhängige Gütekennzahl.</w:t>
      </w:r>
    </w:p>
    <w:p>
      <w:pPr>
        <w:spacing w:after="40"/>
        <w:ind w:left="272" w:hanging="159"/>
      </w:pPr>
      <w:r>
        <w:rPr>
          <w:rFonts w:ascii="Arial" w:hAnsi="Arial"/>
          <w:b/>
          <w:i w:val="0"/>
          <w:color w:val="2F5EAC"/>
          <w:sz w:val="17"/>
        </w:rPr>
        <w:t xml:space="preserve">• </w:t>
      </w:r>
      <w:r>
        <w:rPr>
          <w:rFonts w:ascii="Arial" w:hAnsi="Arial"/>
          <w:b w:val="0"/>
          <w:i w:val="0"/>
          <w:color w:val="111111"/>
          <w:sz w:val="17"/>
        </w:rPr>
        <w:t>Lastprognose allein erlaubt keine Aussage über konkrete Netzengpässe oder Blackouts.</w:t>
      </w: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i w:val="0"/>
          <w:color w:val="2F5EAC"/>
          <w:sz w:val="16"/>
        </w:rPr>
        <w:t>QUA3CK-PHASE 5</w:t>
      </w:r>
    </w:p>
    <w:p>
      <w:pPr>
        <w:pStyle w:val="Title"/>
        <w:spacing w:after="100"/>
        <w:pBdr>
          <w:bottom w:val="single" w:sz="14" w:space="5" w:color="2F5EAC"/>
        </w:pBdr>
      </w:pPr>
      <w:r>
        <w:t>K - Knowledge Transfer</w:t>
      </w:r>
    </w:p>
    <w:p>
      <w:pPr>
        <w:spacing w:after="120"/>
      </w:pPr>
      <w:r>
        <w:rPr>
          <w:rFonts w:ascii="Arial" w:hAnsi="Arial"/>
          <w:b w:val="0"/>
          <w:i w:val="0"/>
          <w:color w:val="5B6573"/>
          <w:sz w:val="20"/>
        </w:rPr>
        <w:t>Vom getesteten Modell zur nachvollziehbaren Streamlit-Anwendung</w:t>
      </w:r>
    </w:p>
    <w:p>
      <w:pPr>
        <w:spacing w:after="84"/>
      </w:pPr>
      <w:r>
        <w:rPr>
          <w:rFonts w:ascii="Arial" w:hAnsi="Arial"/>
          <w:b w:val="0"/>
          <w:i w:val="0"/>
          <w:color w:val="111111"/>
          <w:sz w:val="18"/>
        </w:rPr>
        <w:t>Die K-Phase integriert Code, Modell, kompakte App-Daten, Prüfberichte und Präsentationsartefakte. Das finale, rund 1,9 MB große Joblib-Modell ist mit fester SHA-256-Prüfsumme im öffentlichen Repository versioniert.</w:t>
      </w:r>
    </w:p>
    <w:tbl>
      <w:tblPr>
        <w:tblStyle w:val="TableGrid"/>
        <w:tblW w:type="dxa" w:w="10261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2267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App-Ansicht</w:t>
            </w:r>
          </w:p>
        </w:tc>
        <w:tc>
          <w:tcPr>
            <w:tcW w:type="dxa" w:w="4308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Nutzen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Daten-/Modellbasis</w:t>
            </w:r>
          </w:p>
        </w:tc>
      </w:tr>
      <w:tr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Überblick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Forschungsfrage und Kernergebnisse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C- und K-Reports</w:t>
            </w:r>
          </w:p>
        </w:tc>
      </w:tr>
      <w:tr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Historischer Backtest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Istwert, HGB und Kalender-Baseline für Tage 2019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echte Out-of-sample-Prognosen</w:t>
            </w:r>
          </w:p>
        </w:tc>
      </w:tr>
      <w:tr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Zukunftsszenario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Temperatur, Nachfrage und Rechenzentrumslast variieren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App-Modell + Klimatologie 1980-2019</w:t>
            </w:r>
          </w:p>
        </w:tc>
      </w:tr>
      <w:tr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Methodik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QUA3CK, Modellvergleich und Grenzen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versionierte Dokumentation</w:t>
            </w:r>
          </w:p>
        </w:tc>
      </w:tr>
    </w:tbl>
    <w:p>
      <w:pPr>
        <w:spacing w:after="0"/>
      </w:pPr>
    </w:p>
    <w:p>
      <w:pPr>
        <w:pStyle w:val="Heading2"/>
      </w:pPr>
      <w:r>
        <w:t>Szenario- und Risiko-Logik</w:t>
      </w:r>
    </w:p>
    <w:p>
      <w:pPr>
        <w:spacing w:after="84"/>
      </w:pPr>
      <w:r>
        <w:rPr>
          <w:rFonts w:ascii="Arial" w:hAnsi="Arial"/>
          <w:b w:val="0"/>
          <w:i w:val="0"/>
          <w:color w:val="111111"/>
          <w:sz w:val="18"/>
        </w:rPr>
        <w:t>Für ein gewähltes Datum erzeugt die App ein typisches 24-Stunden-Wetterprofil nach Land, Monat und lokaler Stunde. Eine Temperaturabweichung wirkt vor der ML-Inferenz; Nachfrageänderung und zusätzliche Rechenzentrumslast werden danach als sichtbare Annahmen angewendet.</w:t>
      </w:r>
    </w:p>
    <w:tbl>
      <w:tblPr>
        <w:tblW w:type="dxa" w:w="10261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70" w:type="dxa"/>
              <w:start w:w="90" w:type="dxa"/>
              <w:bottom w:w="70" w:type="dxa"/>
              <w:end w:w="90" w:type="dxa"/>
            </w:tcMar>
            <w:shd w:fill="EAF1FB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Beispielszenario: </w:t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Deutschland, 15.01.2030, +2 °C, +10 % Nachfrage und +500 MW Rechenzentrumslast: modellierte Spitzenlast 82.693 MW statt 75.014 MW (+10,24 %). Dies ist eine konditionale Szenariorechnung, keine konkrete Jahresprognose.</w:t>
            </w:r>
          </w:p>
        </w:tc>
      </w:tr>
    </w:tbl>
    <w:p>
      <w:pPr>
        <w:spacing w:after="0"/>
      </w:pPr>
    </w:p>
    <w:p>
      <w:pPr>
        <w:spacing w:after="84"/>
      </w:pPr>
      <w:r>
        <w:rPr>
          <w:rFonts w:ascii="Arial" w:hAnsi="Arial"/>
          <w:b w:val="0"/>
          <w:i w:val="0"/>
          <w:color w:val="111111"/>
          <w:sz w:val="18"/>
        </w:rPr>
        <w:t>Der Extremzustandsindikator simuliert, wie häufig ein Szenariotag unter historischen Residualpfaden eine nationale Q95-/Q99-Lastschwelle überschreitet. Er bezeichnet keine Blackout-, Netzüberlastungs- oder Versorgungsausfallwahrscheinlichkeit.</w:t>
      </w:r>
    </w:p>
    <w:p>
      <w:pPr>
        <w:pStyle w:val="Heading2"/>
      </w:pPr>
      <w:r>
        <w:t>Technische Verifikation und Übergabe</w:t>
      </w:r>
    </w:p>
    <w:p>
      <w:pPr>
        <w:spacing w:after="40"/>
        <w:ind w:left="272" w:hanging="159"/>
      </w:pPr>
      <w:r>
        <w:rPr>
          <w:rFonts w:ascii="Arial" w:hAnsi="Arial"/>
          <w:b/>
          <w:i w:val="0"/>
          <w:color w:val="2F5EAC"/>
          <w:sz w:val="17"/>
        </w:rPr>
        <w:t xml:space="preserve">• </w:t>
      </w:r>
      <w:r>
        <w:rPr>
          <w:rFonts w:ascii="Arial" w:hAnsi="Arial"/>
          <w:b w:val="0"/>
          <w:i w:val="0"/>
          <w:color w:val="111111"/>
          <w:sz w:val="17"/>
        </w:rPr>
        <w:t>C-Makro-nMAE exakt reproduziert; finales Modell frisch geladen.</w:t>
      </w:r>
    </w:p>
    <w:p>
      <w:pPr>
        <w:spacing w:after="40"/>
        <w:ind w:left="272" w:hanging="159"/>
      </w:pPr>
      <w:r>
        <w:rPr>
          <w:rFonts w:ascii="Arial" w:hAnsi="Arial"/>
          <w:b/>
          <w:i w:val="0"/>
          <w:color w:val="2F5EAC"/>
          <w:sz w:val="17"/>
        </w:rPr>
        <w:t xml:space="preserve">• </w:t>
      </w:r>
      <w:r>
        <w:rPr>
          <w:rFonts w:ascii="Arial" w:hAnsi="Arial"/>
          <w:b w:val="0"/>
          <w:i w:val="0"/>
          <w:color w:val="111111"/>
          <w:sz w:val="17"/>
        </w:rPr>
        <w:t>Elf Modell-, Szenario-, Risiko- und App-Strukturtests bestanden.</w:t>
      </w:r>
    </w:p>
    <w:p>
      <w:pPr>
        <w:spacing w:after="40"/>
        <w:ind w:left="272" w:hanging="159"/>
      </w:pPr>
      <w:r>
        <w:rPr>
          <w:rFonts w:ascii="Arial" w:hAnsi="Arial"/>
          <w:b/>
          <w:i w:val="0"/>
          <w:color w:val="2F5EAC"/>
          <w:sz w:val="17"/>
        </w:rPr>
        <w:t xml:space="preserve">• </w:t>
      </w:r>
      <w:r>
        <w:rPr>
          <w:rFonts w:ascii="Arial" w:hAnsi="Arial"/>
          <w:b w:val="0"/>
          <w:i w:val="0"/>
          <w:color w:val="111111"/>
          <w:sz w:val="17"/>
        </w:rPr>
        <w:t>Streamlit 1.50.0 unter Python 3.12 gestartet; Health-Endpunkt antwortet mit 'ok'.</w:t>
      </w:r>
    </w:p>
    <w:p>
      <w:pPr>
        <w:spacing w:after="40"/>
        <w:ind w:left="272" w:hanging="159"/>
      </w:pPr>
      <w:r>
        <w:rPr>
          <w:rFonts w:ascii="Arial" w:hAnsi="Arial"/>
          <w:b/>
          <w:i w:val="0"/>
          <w:color w:val="2F5EAC"/>
          <w:sz w:val="17"/>
        </w:rPr>
        <w:t xml:space="preserve">• </w:t>
      </w:r>
      <w:r>
        <w:rPr>
          <w:rFonts w:ascii="Arial" w:hAnsi="Arial"/>
          <w:b w:val="0"/>
          <w:i w:val="0"/>
          <w:color w:val="111111"/>
          <w:sz w:val="17"/>
        </w:rPr>
        <w:t>Deployment-ready: Repository main, Entrypoint streamlit_app/app.py, keine Secrets.</w:t>
      </w:r>
    </w:p>
    <w:p>
      <w:pPr>
        <w:pStyle w:val="Heading2"/>
      </w:pPr>
      <w:r>
        <w:t>Quellen und Projektartefakte</w:t>
      </w:r>
    </w:p>
    <w:p>
      <w:pPr>
        <w:spacing w:after="40"/>
      </w:pPr>
      <w:r>
        <w:rPr>
          <w:rFonts w:ascii="Arial" w:hAnsi="Arial"/>
          <w:b w:val="0"/>
          <w:i w:val="0"/>
          <w:color w:val="111111"/>
          <w:sz w:val="18"/>
        </w:rPr>
        <w:t>Open Power System Data (OPSD), Time Series und Weather Data Packages (Datenstand 2020); Quibeldey-Cirkel, QUA3CK-Unterlagen und E-Mail-Aufgabenstellung (2026); Pedregosa et al., Scikit-learn: Machine Learning in Python (JMLR, 2011); Streamlit Documentation, Community Cloud Deployment (Abruf 25.07.2026).</w:t>
      </w:r>
    </w:p>
    <w:p>
      <w:pPr>
        <w:spacing w:after="0"/>
      </w:pPr>
      <w:r>
        <w:rPr>
          <w:rFonts w:ascii="Arial" w:hAnsi="Arial"/>
          <w:b w:val="0"/>
          <w:i/>
          <w:color w:val="111111"/>
          <w:sz w:val="18"/>
        </w:rPr>
        <w:t>Repository: github.com/Tajan95/gridcast-europe | Zentrale Nachweise: vier ausgeführte Notebooks, Phasendokumentationen, A³-/C-/K-Reports, Tests und reproduzierbare Skripte.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9" w:right="822" w:bottom="709" w:left="822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573"/>
        <w:sz w:val="14"/>
      </w:rPr>
      <w:t xml:space="preserve">Tajan Biazevic | 10234562 | Seite </w:t>
    </w:r>
    <w:r>
      <w:fldChar w:fldCharType="begin"/>
      <w:instrText xml:space="preserve">PAGE</w:instrText>
      <w:fldChar w:fldCharType="end"/>
    </w:r>
    <w:r>
      <w:rPr>
        <w:rFonts w:ascii="Arial" w:hAnsi="Arial"/>
        <w:b w:val="0"/>
        <w:i w:val="0"/>
        <w:color w:val="5B6573"/>
        <w:sz w:val="14"/>
      </w:rPr>
      <w:t xml:space="preserve"> von 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5" w:space="3" w:color="E6EAF0"/>
        <w:bottom w:val="single" w:sz="5" w:space="3" w:color="E6EAF0"/>
      </w:pBdr>
    </w:pPr>
    <w:r/>
    <w:r>
      <w:rPr>
        <w:rFonts w:ascii="Arial" w:hAnsi="Arial"/>
        <w:b/>
        <w:i w:val="0"/>
        <w:color w:val="2F5EAC"/>
        <w:sz w:val="15"/>
      </w:rPr>
      <w:t>GRIDCAST EUROPE</w:t>
    </w:r>
    <w:r>
      <w:rPr>
        <w:rFonts w:ascii="Arial" w:hAnsi="Arial"/>
        <w:b w:val="0"/>
        <w:i w:val="0"/>
        <w:color w:val="5B6573"/>
        <w:sz w:val="15"/>
      </w:rPr>
      <w:t xml:space="preserve">   |   QUA3CK-Prüfungsprojekt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4" w:line="259" w:lineRule="auto"/>
    </w:pPr>
    <w:rPr>
      <w:rFonts w:ascii="Arial" w:hAnsi="Arial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F5EA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GridCast Europe - Prüfungs-Handout</dc:title>
  <dc:subject>QUA3CK-Projekt Data Analytics und Big Data</dc:subject>
  <dc:creator>Tajan Biazevic</dc:creator>
  <cp:keywords>GridCast Europe, QUA3CK, Stromlast, Machine Learning, Streamlit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