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i w:val="0"/>
          <w:color w:val="2F5EAC"/>
          <w:sz w:val="16"/>
        </w:rPr>
        <w:t>PRÜFUNGS-HANDOUT | DATA ANALYTICS UND BIG DATA</w:t>
      </w:r>
    </w:p>
    <w:p>
      <w:pPr>
        <w:pStyle w:val="Title"/>
        <w:spacing w:after="100"/>
        <w:pBdr>
          <w:bottom w:val="single" w:sz="14" w:space="5" w:color="2F5EAC"/>
        </w:pBdr>
      </w:pPr>
      <w:r>
        <w:t>GridCast Europe</w:t>
      </w:r>
    </w:p>
    <w:p>
      <w:pPr>
        <w:spacing w:after="120"/>
      </w:pPr>
      <w:r>
        <w:rPr>
          <w:rFonts w:ascii="Arial" w:hAnsi="Arial"/>
          <w:b w:val="0"/>
          <w:i w:val="0"/>
          <w:color w:val="5B6573"/>
          <w:sz w:val="20"/>
        </w:rPr>
        <w:t>Stündliche Stromlastprognose und transparente Zukunftsszenarien für DE, FR und PL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Studierender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Matrikelnummer</w:t>
            </w:r>
          </w:p>
        </w:tc>
        <w:tc>
          <w:tcPr>
            <w:tcW w:type="dxa" w:w="3401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Prüfer</w:t>
            </w:r>
          </w:p>
        </w:tc>
        <w:tc>
          <w:tcPr>
            <w:tcW w:type="dxa" w:w="277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Termin</w:t>
            </w:r>
          </w:p>
        </w:tc>
      </w:tr>
      <w:tr>
        <w:tc>
          <w:tcPr>
            <w:tcW w:type="dxa" w:w="2565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Tajan Biazevic</w:t>
            </w:r>
          </w:p>
        </w:tc>
        <w:tc>
          <w:tcPr>
            <w:tcW w:type="dxa" w:w="2565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10234562</w:t>
            </w:r>
          </w:p>
        </w:tc>
        <w:tc>
          <w:tcPr>
            <w:tcW w:type="dxa" w:w="2565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Prof. Dr. Klaus Quibeldey-Cirkel</w:t>
            </w:r>
          </w:p>
        </w:tc>
        <w:tc>
          <w:tcPr>
            <w:tcW w:type="dxa" w:w="2565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28.07.2026, 15:30</w:t>
            </w:r>
          </w:p>
        </w:tc>
      </w:tr>
    </w:tbl>
    <w:p>
      <w:pPr>
        <w:spacing w:after="0"/>
      </w:pPr>
    </w:p>
    <w:p>
      <w:pPr>
        <w:pStyle w:val="Heading2"/>
      </w:pPr>
      <w:r>
        <w:t>Q - Question: vom Problem zur prüfbaren Hypothese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Nach dem transparent dokumentierten Projektwechsel von WasteWise zu GridCast am 22.07.2026 wurde die Forschungsfrage ergebnisoffen festgelegt: Wie genau lässt sich die stündliche Stromlast ausgewählter europäischer Länder aus historischen Last-, Wetter- und Kalenderdaten für einen chronologisch späteren Zeitraum prognostizieren?</w:t>
      </w: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EAF1FB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Primäres Erfolgskriterium: 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Makro-nMAE: Der MAE wird je Land durch dessen mittlere Last normalisiert und anschließend gleichgewichtet gemittelt. Das verhindert, dass Deutschland allein wegen seines höheren Lastniveaus den Modellvergleich dominiert.</w:t>
            </w:r>
          </w:p>
        </w:tc>
      </w:tr>
    </w:tbl>
    <w:p>
      <w:pPr>
        <w:spacing w:after="0"/>
      </w:pPr>
    </w:p>
    <w:p>
      <w:pPr>
        <w:pStyle w:val="Heading2"/>
      </w:pPr>
      <w:r>
        <w:t>Experimentdesign vor dem Modellvergleich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Baustein</w:t>
            </w:r>
          </w:p>
        </w:tc>
        <w:tc>
          <w:tcPr>
            <w:tcW w:type="dxa" w:w="3004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Festlegung</w:t>
            </w:r>
          </w:p>
        </w:tc>
        <w:tc>
          <w:tcPr>
            <w:tcW w:type="dxa" w:w="5555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Begründung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Scope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Deutschland, Frankreich, Polen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Drei unterschiedlich große Stromsysteme; fachlich prüfbarer Umfang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Zeit-Split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2015-2017 / 2018 / 2019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Training / Auswahl / genau einmaliger Test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Baselines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Ländermittelwert; Kalenderprofil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Mehrwert muss einfache Verfahren schlagen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Kandidaten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Ridge; Histogram Gradient Boosting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Interpretierbare lineare und flexible nichtlineare Familie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Praktisches Ziel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mind. 5 % besser als Kalender-Baseline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Relevanz zusätzlich zur bloßen statistischen Verbesserung</w:t>
            </w:r>
          </w:p>
        </w:tc>
      </w:tr>
    </w:tbl>
    <w:p>
      <w:pPr>
        <w:spacing w:after="0"/>
      </w:pPr>
    </w:p>
    <w:p>
      <w:pPr>
        <w:pStyle w:val="Heading2"/>
      </w:pPr>
      <w:r>
        <w:t>Hypothesen und Schutz vor Leakage</w:t>
      </w:r>
    </w:p>
    <w:p>
      <w:pPr>
        <w:spacing w:after="50"/>
        <w:ind w:left="272" w:hanging="159"/>
      </w:pPr>
      <w:r>
        <w:rPr>
          <w:rFonts w:ascii="Arial" w:hAnsi="Arial"/>
          <w:b/>
          <w:i w:val="0"/>
          <w:color w:val="2F5EAC"/>
          <w:sz w:val="18"/>
        </w:rPr>
        <w:t xml:space="preserve">• </w:t>
      </w:r>
      <w:r>
        <w:rPr>
          <w:rFonts w:ascii="Arial" w:hAnsi="Arial"/>
          <w:b w:val="0"/>
          <w:i w:val="0"/>
          <w:color w:val="111111"/>
          <w:sz w:val="18"/>
        </w:rPr>
        <w:t>Kalenderstruktur schlägt den konstanten Ländermittelwert.</w:t>
      </w:r>
    </w:p>
    <w:p>
      <w:pPr>
        <w:spacing w:after="50"/>
        <w:ind w:left="272" w:hanging="159"/>
      </w:pPr>
      <w:r>
        <w:rPr>
          <w:rFonts w:ascii="Arial" w:hAnsi="Arial"/>
          <w:b/>
          <w:i w:val="0"/>
          <w:color w:val="2F5EAC"/>
          <w:sz w:val="18"/>
        </w:rPr>
        <w:t xml:space="preserve">• </w:t>
      </w:r>
      <w:r>
        <w:rPr>
          <w:rFonts w:ascii="Arial" w:hAnsi="Arial"/>
          <w:b w:val="0"/>
          <w:i w:val="0"/>
          <w:color w:val="111111"/>
          <w:sz w:val="18"/>
        </w:rPr>
        <w:t>Wetter- und Feiertagsmerkmale verbessern ein rein kalenderbasiertes Modell.</w:t>
      </w:r>
    </w:p>
    <w:p>
      <w:pPr>
        <w:spacing w:after="50"/>
        <w:ind w:left="272" w:hanging="159"/>
      </w:pPr>
      <w:r>
        <w:rPr>
          <w:rFonts w:ascii="Arial" w:hAnsi="Arial"/>
          <w:b/>
          <w:i w:val="0"/>
          <w:color w:val="2F5EAC"/>
          <w:sz w:val="18"/>
        </w:rPr>
        <w:t xml:space="preserve">• </w:t>
      </w:r>
      <w:r>
        <w:rPr>
          <w:rFonts w:ascii="Arial" w:hAnsi="Arial"/>
          <w:b w:val="0"/>
          <w:i w:val="0"/>
          <w:color w:val="111111"/>
          <w:sz w:val="18"/>
        </w:rPr>
        <w:t>Die in A³ auf 2018 ausgewählte Konfiguration generalisiert auf das unangetastete Jahr 2019.</w:t>
      </w:r>
    </w:p>
    <w:p>
      <w:pPr>
        <w:spacing w:after="50"/>
        <w:ind w:left="272" w:hanging="159"/>
      </w:pPr>
      <w:r>
        <w:rPr>
          <w:rFonts w:ascii="Arial" w:hAnsi="Arial"/>
          <w:b/>
          <w:i w:val="0"/>
          <w:color w:val="2F5EAC"/>
          <w:sz w:val="18"/>
        </w:rPr>
        <w:t xml:space="preserve">• </w:t>
      </w:r>
      <w:r>
        <w:rPr>
          <w:rFonts w:ascii="Arial" w:hAnsi="Arial"/>
          <w:b w:val="0"/>
          <w:i w:val="0"/>
          <w:color w:val="111111"/>
          <w:sz w:val="18"/>
        </w:rPr>
        <w:t>Zukunftsszenarien werden als konditionale Was-wäre-wenn-Rechnung ausgewiesen, nicht als konkrete Wetter- oder Blackout-Prognose.</w:t>
      </w: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F5F8F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Transparenz: 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Das Q-Notebook wurde nach dem Pivot nachgezogen und kennzeichnet diese Chronologie offen. Die späteren U-Ergebnisse werden dort nur als nachgelagerter Status geführt.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i w:val="0"/>
          <w:color w:val="2F5EAC"/>
          <w:sz w:val="16"/>
        </w:rPr>
        <w:t>QUA3CK-PHASE 2</w:t>
      </w:r>
    </w:p>
    <w:p>
      <w:pPr>
        <w:pStyle w:val="Title"/>
        <w:spacing w:after="100"/>
        <w:pBdr>
          <w:bottom w:val="single" w:sz="14" w:space="5" w:color="2F5EAC"/>
        </w:pBdr>
      </w:pPr>
      <w:r>
        <w:t>U - Understanding the Data</w:t>
      </w:r>
    </w:p>
    <w:p>
      <w:pPr>
        <w:spacing w:after="120"/>
      </w:pPr>
      <w:r>
        <w:rPr>
          <w:rFonts w:ascii="Arial" w:hAnsi="Arial"/>
          <w:b w:val="0"/>
          <w:i w:val="0"/>
          <w:color w:val="5B6573"/>
          <w:sz w:val="20"/>
        </w:rPr>
        <w:t>Datenqualität, Joinbarkeit und Muster vor der Modellierung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Die Last- und Wetterdaten stammen aus den offenen OPSD-Paketen. Die Pipeline liest nur benötigte Spalten, vereinheitlicht Zeitstempel in UTC, erzeugt lokale Kalendermerkmale und verknüpft Land und Stunde über einen abgesicherten 1:1-Join.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4308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Prüfschritt</w:t>
            </w:r>
          </w:p>
        </w:tc>
        <w:tc>
          <w:tcPr>
            <w:tcW w:type="dxa" w:w="5952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Ergebnis</w:t>
            </w:r>
          </w:p>
        </w:tc>
      </w:tr>
      <w:tr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Mögliche Länder-Stunden</w:t>
            </w:r>
          </w:p>
        </w:tc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131.472</w:t>
            </w:r>
          </w:p>
        </w:tc>
      </w:tr>
      <w:tr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Nutzbare Modellzeilen</w:t>
            </w:r>
          </w:p>
        </w:tc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131.441</w:t>
            </w:r>
          </w:p>
        </w:tc>
      </w:tr>
      <w:tr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Entfernte fehlende Lastwerte</w:t>
            </w:r>
          </w:p>
        </w:tc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31 (DE: 0, FR: 30, PL: 1)</w:t>
            </w:r>
          </w:p>
        </w:tc>
      </w:tr>
      <w:tr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Doppelte Land-Zeit-Schlüssel</w:t>
            </w:r>
          </w:p>
        </w:tc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</w:t>
            </w:r>
          </w:p>
        </w:tc>
      </w:tr>
      <w:tr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Wetterabdeckung 2015-2019</w:t>
            </w:r>
          </w:p>
        </w:tc>
        <w:tc>
          <w:tcPr>
            <w:tcW w:type="dxa" w:w="513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vollständig für die verwendeten Features</w:t>
            </w:r>
          </w:p>
        </w:tc>
      </w:tr>
      <w:tr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Klimatologie</w:t>
            </w:r>
          </w:p>
        </w:tc>
        <w:tc>
          <w:tcPr>
            <w:tcW w:type="dxa" w:w="513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1980-2019; 864 Zeilen = Land x Monat x lokale Stunde</w:t>
            </w:r>
          </w:p>
        </w:tc>
      </w:tr>
    </w:tbl>
    <w:p>
      <w:pPr>
        <w:spacing w:after="0"/>
      </w:pPr>
    </w:p>
    <w:p>
      <w:pPr>
        <w:spacing w:after="30"/>
        <w:jc w:val="center"/>
      </w:pPr>
      <w:r>
        <w:drawing>
          <wp:inline xmlns:a="http://schemas.openxmlformats.org/drawingml/2006/main" xmlns:pic="http://schemas.openxmlformats.org/drawingml/2006/picture">
            <wp:extent cx="6048000" cy="2681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_import_merge_eda_cell22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8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 w:val="0"/>
          <w:i/>
          <w:color w:val="5B6573"/>
          <w:sz w:val="15"/>
        </w:rPr>
        <w:t>Mittleres Tageslastprofil: deutliche Tageszyklen und länderspezifische Lastniveaus.</w:t>
      </w:r>
    </w:p>
    <w:p>
      <w:pPr>
        <w:pStyle w:val="Heading2"/>
      </w:pPr>
      <w:r>
        <w:t>Feature Engineering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Kalender: lokale Stunde, Wochentag, Monat, Saison, Wochenende und nationale Feiertage.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>• Zyklische Kodierung: Sinus/Cosinus für Stunde, Wochentag und Jahresverlauf; der Monat bleibt ein separates Merkmal.</w:t>
      </w:r>
      <w:r>
        <w:rPr>
          <w:rFonts w:ascii="Arial" w:hAnsi="Arial"/>
          <w:b w:val="0"/>
          <w:i w:val="0"/>
          <w:color w:val="111111"/>
          <w:sz w:val="17"/>
        </w:rPr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Wetter: Temperatur, Temperaturquadrat, Heating/Cooling Degrees sowie direkte und diffuse Strahlung.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Land: kategoriale Kodierung; Zielskalierung je Land innerhalb der Modellpipeline.</w:t>
      </w: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EAF1FB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Zentrale Erkenntnis: 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Last zeigt starke Tages-, Wochen- und Saisonmuster. Temperatur wirkt nichtlinear; Frankreich reagiert besonders deutlich auf kalte Bedingungen. Die drei Länder sollten daher gemeinsam, aber ländersensitiv modelliert werden.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b w:val="0"/>
          <w:i w:val="0"/>
          <w:color w:val="111111"/>
          <w:sz w:val="18"/>
        </w:rPr>
        <w:t>Reproduzierbarkeit: Das ausgeführte U-Notebook enthält Import, Bereinigung, Join, EDA, zehn Diagramme und die Speicherung der verarbeiteten Daten. Rohdaten bleiben wegen ihrer Größe außerhalb von Git und sind per Downloadskript reproduzierbar.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i w:val="0"/>
          <w:color w:val="2F5EAC"/>
          <w:sz w:val="16"/>
        </w:rPr>
        <w:t>QUA3CK-PHASE 3</w:t>
      </w:r>
    </w:p>
    <w:p>
      <w:pPr>
        <w:pStyle w:val="Title"/>
        <w:spacing w:after="100"/>
        <w:pBdr>
          <w:bottom w:val="single" w:sz="14" w:space="5" w:color="2F5EAC"/>
        </w:pBdr>
      </w:pPr>
      <w:r>
        <w:t>A³ - Algorithmus, Attribute, Ausprägung</w:t>
      </w:r>
    </w:p>
    <w:p>
      <w:pPr>
        <w:spacing w:after="120"/>
      </w:pPr>
      <w:r>
        <w:rPr>
          <w:rFonts w:ascii="Arial" w:hAnsi="Arial"/>
          <w:b w:val="0"/>
          <w:i w:val="0"/>
          <w:color w:val="5B6573"/>
          <w:sz w:val="20"/>
        </w:rPr>
        <w:t>Modellentwicklung ausschließlich auf Training 2015-2017 und Validierung 2018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A³ untersuchte nicht nur Modellklassen, sondern auch Featuregruppen und Hyperparameter. Der gemeinsame Datensatz wurde eingelesen; 2019 wurde unmittelbar ausgeschlossen und weder ausgewertet noch zur Auswahl oder zum Tuning verwendet.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Modell auf Validierung 2018</w:t>
            </w:r>
          </w:p>
        </w:tc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Makro-nMAE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Einordnung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Ländermittelwert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15,97 %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zu grob; ignoriert Zeitstruktur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Kalender-Baseline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5,76 %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starke verpflichtende Referenz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Ridge (beste Validierung)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4,98 %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interpretierbar, aber begrenzt nichtlinear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HGB + Kalender + Feiertag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4,83 %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leichte Verbesserung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HGB + Kalender + Feiertag + Wetter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3,31 %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Gewinner; 42,5 % besser als Kalender-Baseline</w:t>
            </w:r>
          </w:p>
        </w:tc>
      </w:tr>
    </w:tbl>
    <w:p>
      <w:pPr>
        <w:spacing w:after="0"/>
      </w:pPr>
    </w:p>
    <w:p>
      <w:pPr>
        <w:spacing w:after="30"/>
        <w:jc w:val="center"/>
      </w:pPr>
      <w:r>
        <w:drawing>
          <wp:inline xmlns:a="http://schemas.openxmlformats.org/drawingml/2006/main" xmlns:pic="http://schemas.openxmlformats.org/drawingml/2006/picture">
            <wp:extent cx="6083999" cy="2947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3_model_development_cell21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94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 w:val="0"/>
          <w:i/>
          <w:color w:val="5B6573"/>
          <w:sz w:val="15"/>
        </w:rPr>
        <w:t>Modellauswahl auf 2018: Wetter und nichtlineares Boosting liefern den größten Zusatznutzen.</w:t>
      </w:r>
    </w:p>
    <w:p>
      <w:pPr>
        <w:pStyle w:val="Heading2"/>
      </w:pPr>
      <w:r>
        <w:t>Eingefrorene Gewinnerkonfiguration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Wert</w:t>
            </w:r>
          </w:p>
        </w:tc>
        <w:tc>
          <w:tcPr>
            <w:tcW w:type="dxa" w:w="5385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Funktion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Lernrate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0,1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Schrittweite je Boosting-Iteration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Blattknoten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127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Modellkomplexität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Iterationen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300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Anzahl Boosting-Schritte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Min. Beobachtungen je Blatt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80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Schutz vor Überanpassung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L2-Regularisierung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1,0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Glättung</w:t>
            </w:r>
          </w:p>
        </w:tc>
      </w:tr>
    </w:tbl>
    <w:p>
      <w:pPr>
        <w:spacing w:after="0"/>
      </w:pPr>
    </w:p>
    <w:p>
      <w:pPr>
        <w:pStyle w:val="Heading2"/>
      </w:pPr>
      <w:r>
        <w:t>Validierungsbefund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Länderspezifischer nMAE: DE 3,01 %, FR 3,18 %, PL 3,74 %.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H2, H4 und H5 wurden auf 2018 gestützt; H3 blieb bis zur C-Phase offen.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Mehr Daten können helfen, aber ein niedrigerer Fehler ist nicht automatisch kausal nur durch zusätzliche Jahre erklärt.</w:t>
      </w: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EAF1FB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Entscheidungsregel: 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Nach der 2018-Auswahl wurden Modellfamilie, Features und Hyperparameter eingefroren. In C durfte das Testjahr nur noch bewerten, nicht mehr optimieren.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i w:val="0"/>
          <w:color w:val="2F5EAC"/>
          <w:sz w:val="16"/>
        </w:rPr>
        <w:t>QUA3CK-PHASE 4</w:t>
      </w:r>
    </w:p>
    <w:p>
      <w:pPr>
        <w:pStyle w:val="Title"/>
        <w:spacing w:after="100"/>
        <w:pBdr>
          <w:bottom w:val="single" w:sz="14" w:space="5" w:color="2F5EAC"/>
        </w:pBdr>
      </w:pPr>
      <w:r>
        <w:t>C - Conclude &amp; Compare</w:t>
      </w:r>
    </w:p>
    <w:p>
      <w:pPr>
        <w:spacing w:after="120"/>
      </w:pPr>
      <w:r>
        <w:rPr>
          <w:rFonts w:ascii="Arial" w:hAnsi="Arial"/>
          <w:b w:val="0"/>
          <w:i w:val="0"/>
          <w:color w:val="5B6573"/>
          <w:sz w:val="20"/>
        </w:rPr>
        <w:t>Einmalige Generalisierungsprüfung auf dem zuvor unangetasteten Jahr 2019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Die eingefrorene HGB-Konfiguration und beide Baselines wurden auf 2015-2018 refittet. Danach wurde 2019 genau einmal geöffnet. Der Modellvergleich berücksichtigt neben Genauigkeit auch Interpretierbarkeit, Laufzeit, Wartbarkeit und Einsatzfähigkeit.</w:t>
      </w:r>
    </w:p>
    <w:p>
      <w:pPr>
        <w:spacing w:after="30"/>
        <w:jc w:val="center"/>
      </w:pPr>
      <w:r>
        <w:drawing>
          <wp:inline xmlns:a="http://schemas.openxmlformats.org/drawingml/2006/main" xmlns:pic="http://schemas.openxmlformats.org/drawingml/2006/picture">
            <wp:extent cx="6083999" cy="3002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clude_compare_cell9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00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 w:val="0"/>
          <w:i/>
          <w:color w:val="5B6573"/>
          <w:sz w:val="15"/>
        </w:rPr>
        <w:t>Unangetasteter Test 2019: Das finale HGB-Modell bleibt deutlich vor beiden Baselines.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4705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Modell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Makro-nMAE 2019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Verbesserung vs. Kalender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Ländermittelwert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15,64 %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-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Kalender-Baseline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4,88 %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Referenz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HGB + Feiertag + Wetter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2,71 %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44,5 %</w:t>
            </w:r>
          </w:p>
        </w:tc>
      </w:tr>
    </w:tbl>
    <w:p>
      <w:pPr>
        <w:spacing w:after="0"/>
      </w:pPr>
    </w:p>
    <w:p>
      <w:pPr>
        <w:pStyle w:val="Heading2"/>
      </w:pPr>
      <w:r>
        <w:t>Ergebnis nach Land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Land</w:t>
            </w:r>
          </w:p>
        </w:tc>
        <w:tc>
          <w:tcPr>
            <w:tcW w:type="dxa" w:w="192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nMAE 2019</w:t>
            </w:r>
          </w:p>
        </w:tc>
        <w:tc>
          <w:tcPr>
            <w:tcW w:type="dxa" w:w="6066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Kurzinterpretation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Deutschland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2,49 %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niedrigster relativer Fehler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Frankreich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2,91 %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relativ schwierig; März/Frühling auffällig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Polen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2,71 %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stabile Generalisierung</w:t>
            </w:r>
          </w:p>
        </w:tc>
      </w:tr>
    </w:tbl>
    <w:p>
      <w:pPr>
        <w:spacing w:after="0"/>
      </w:pP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EAF1FB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Schlussfolgerung: 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H3 und das praktische 5-%-Ziel sind bestätigt. Der Testfehler sank gegenüber der Validierung von 3,31 % auf 2,71 %. Das ist ein positiver Projektbefund, aber keine Garantie, dass jedes zusätzliche Jahr den Fehler monoton senkt.</w:t>
            </w:r>
          </w:p>
        </w:tc>
      </w:tr>
    </w:tbl>
    <w:p>
      <w:pPr>
        <w:spacing w:after="0"/>
      </w:pPr>
    </w:p>
    <w:p>
      <w:pPr>
        <w:pStyle w:val="Heading2"/>
      </w:pPr>
      <w:r>
        <w:t>Grenzen der Aussage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Reanalysewetter ist im historischen Backtest bekannt und entspricht nicht einer operativen Wettervorhersage.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Der Scope umfasst nur DE, FR und PL sowie Lastdaten 2015-2019.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Das nach dem Test auf 2015-2019 refittete App-Modell besitzt keine neue unabhängige Gütekennzahl.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Lastprognose allein erlaubt keine Aussage über konkrete Netzengpässe oder Blackouts.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i w:val="0"/>
          <w:color w:val="2F5EAC"/>
          <w:sz w:val="16"/>
        </w:rPr>
        <w:t>QUA3CK-PHASE 5</w:t>
      </w:r>
    </w:p>
    <w:p>
      <w:pPr>
        <w:pStyle w:val="Title"/>
        <w:spacing w:after="100"/>
        <w:pBdr>
          <w:bottom w:val="single" w:sz="14" w:space="5" w:color="2F5EAC"/>
        </w:pBdr>
      </w:pPr>
      <w:r>
        <w:t>K - Knowledge Transfer</w:t>
      </w:r>
    </w:p>
    <w:p>
      <w:pPr>
        <w:spacing w:after="120"/>
      </w:pPr>
      <w:r>
        <w:rPr>
          <w:rFonts w:ascii="Arial" w:hAnsi="Arial"/>
          <w:b w:val="0"/>
          <w:i w:val="0"/>
          <w:color w:val="5B6573"/>
          <w:sz w:val="20"/>
        </w:rPr>
        <w:t>Vom getesteten Modell zur nachvollziehbaren Streamlit-Anwendung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Die K-Phase integriert Code, Modell, kompakte App-Daten, Prüfberichte und Präsentationsartefakte. Das finale, rund 1,9 MB große Joblib-Modell ist mit fester SHA-256-Prüfsumme im öffentlichen Repository versioniert.</w:t>
      </w:r>
    </w:p>
    <w:tbl>
      <w:tblPr>
        <w:tblStyle w:val="TableGrid"/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2267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App-Ansicht</w:t>
            </w:r>
          </w:p>
        </w:tc>
        <w:tc>
          <w:tcPr>
            <w:tcW w:type="dxa" w:w="4308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Nutzen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shd w:fill="2F5EAC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Daten-/Modellbasis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Überblick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Forschungsfrage und Kernergebnisse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C- und K-Reports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Historischer Backtest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Istwert, HGB und Kalender-Baseline für Tage 2019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echte Out-of-sample-Prognosen</w:t>
            </w:r>
          </w:p>
        </w:tc>
      </w:tr>
      <w:tr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Zukunftsszenario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Wetter, Nachfrage, Rechenzentren und Zukunftspfad variieren</w:t>
            </w:r>
          </w:p>
        </w:tc>
        <w:tc>
          <w:tcPr>
            <w:tcW w:type="dxa" w:w="3421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App-Modell + Klimatologie 1980-2019</w:t>
            </w:r>
          </w:p>
        </w:tc>
      </w:tr>
      <w:tr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Methodik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QUA3CK, Modellvergleich und Grenzen</w:t>
            </w:r>
          </w:p>
        </w:tc>
        <w:tc>
          <w:tcPr>
            <w:tcW w:type="dxa" w:w="3421"/>
            <w:shd w:fill="F5F8FD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versionierte Dokumentation</w:t>
            </w:r>
          </w:p>
        </w:tc>
      </w:tr>
    </w:tbl>
    <w:p>
      <w:pPr>
        <w:spacing w:after="0"/>
      </w:pPr>
    </w:p>
    <w:p>
      <w:pPr>
        <w:pStyle w:val="Heading2"/>
      </w:pPr>
      <w:r>
        <w:t>Szenario- und Risiko-Logik</w:t>
      </w: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Für ein gewähltes Datum erzeugt die App ein typisches 24-Stunden-Wetterprofil. Temperatur sowie direkte und diffuse Strahlung wirken vor der ML-Inferenz; Nachfrage und Rechenzentren danach. Sieben Presets und ein gekoppelter 2020-2050-Pfad setzen transparente, weiterhin editierbare Startwerte.</w:t>
      </w:r>
    </w:p>
    <w:tbl>
      <w:tblPr>
        <w:tblW w:type="dxa" w:w="10261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shd w:fill="EAF1FB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Beispielszenario: Deutschland, 15.01.2030, +2 °C, direkte Strahlung 160 %, diffuse Strahlung 70 %, +10 % Nachfrage und +500 MW Rechenzentrumslast: modellierte Spitzenlast 82.693 MW statt 75.014 MW (+10,24 %). Dies ist eine konditionale Szenariorechnung, keine konkrete Jahresprognose.</w:t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</w:tbl>
    <w:p>
      <w:pPr>
        <w:spacing w:after="0"/>
      </w:pPr>
    </w:p>
    <w:p>
      <w:pPr>
        <w:spacing w:after="84"/>
      </w:pPr>
      <w:r>
        <w:rPr>
          <w:rFonts w:ascii="Arial" w:hAnsi="Arial"/>
          <w:b w:val="0"/>
          <w:i w:val="0"/>
          <w:color w:val="111111"/>
          <w:sz w:val="18"/>
        </w:rPr>
        <w:t>Der Extremzustandsindikator simuliert, wie häufig ein Szenariotag unter historischen Residualpfaden eine nationale Q95-/Q99-Lastschwelle überschreitet. Beide Varianten wurden nachgelagert auf 2019 evaluiert. Die Kennzahl bezeichnet keine Blackout-, Netzüberlastungs- oder Versorgungsausfallwahrscheinlichkeit.</w:t>
      </w:r>
    </w:p>
    <w:p>
      <w:pPr>
        <w:pStyle w:val="Heading2"/>
      </w:pPr>
      <w:r>
        <w:t>Technische Verifikation und Übergabe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C-Makro-nMAE exakt reproduziert; finales Modell frisch geladen.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>• 34 von 34 Modell-, Szenario-, Risiko- und App-Strukturtests bestanden.</w:t>
      </w:r>
      <w:r>
        <w:rPr>
          <w:rFonts w:ascii="Arial" w:hAnsi="Arial"/>
          <w:b w:val="0"/>
          <w:i w:val="0"/>
          <w:color w:val="111111"/>
          <w:sz w:val="17"/>
        </w:rPr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Streamlit 1.50.0 unter Python 3.12 gestartet; Health-Endpunkt antwortet mit 'ok'.</w:t>
      </w:r>
    </w:p>
    <w:p>
      <w:pPr>
        <w:spacing w:after="40"/>
        <w:ind w:left="272" w:hanging="159"/>
      </w:pPr>
      <w:r>
        <w:rPr>
          <w:rFonts w:ascii="Arial" w:hAnsi="Arial"/>
          <w:b/>
          <w:i w:val="0"/>
          <w:color w:val="2F5EAC"/>
          <w:sz w:val="17"/>
        </w:rPr>
        <w:t xml:space="preserve">• </w:t>
      </w:r>
      <w:r>
        <w:rPr>
          <w:rFonts w:ascii="Arial" w:hAnsi="Arial"/>
          <w:b w:val="0"/>
          <w:i w:val="0"/>
          <w:color w:val="111111"/>
          <w:sz w:val="17"/>
        </w:rPr>
        <w:t>Community Cloud eingerichtet: gridcast-europe.streamlit.app; lokaler App-Test unter Python 3.12 bestanden.</w:t>
      </w:r>
    </w:p>
    <w:p>
      <w:pPr>
        <w:pStyle w:val="Heading2"/>
      </w:pPr>
      <w:r>
        <w:t>Quellen und Projektartefakte</w:t>
      </w:r>
    </w:p>
    <w:p>
      <w:pPr>
        <w:spacing w:after="40"/>
      </w:pPr>
      <w:r>
        <w:rPr>
          <w:rFonts w:ascii="Arial" w:hAnsi="Arial"/>
          <w:b w:val="0"/>
          <w:i w:val="0"/>
          <w:color w:val="111111"/>
          <w:sz w:val="18"/>
        </w:rPr>
        <w:t>Open Power System Data (OPSD), Time Series und Weather Data Packages (2020); Quibeldey-Cirkel, QUA3CK-Unterlagen (2026); Pedregosa et al. (JMLR, 2011); EEA, Global and European temperatures; ENTSO-E/ENTSOG, TYNDP 2024; IEA, Energy and AI; Segado-Moreno et al. (2026); Streamlit Documentation (Abruf 25.07.2026).</w:t>
      </w:r>
    </w:p>
    <w:p>
      <w:pPr>
        <w:spacing w:after="0"/>
      </w:pPr>
      <w:r>
        <w:rPr>
          <w:rFonts w:ascii="Arial" w:hAnsi="Arial"/>
          <w:b w:val="0"/>
          <w:i/>
          <w:color w:val="111111"/>
          <w:sz w:val="18"/>
        </w:rPr>
        <w:t>Repository: github.com/Tajan95/gridcast-europe | Zentrale Nachweise: vier ausgeführte Analyse-Notebooks, K-Dokumentation, A³-/C-/K-Reports, Tests und reproduzierbare Skripte.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822" w:bottom="709" w:left="82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573"/>
        <w:sz w:val="14"/>
      </w:rPr>
      <w:t xml:space="preserve">Tajan Biazevic | 10234562 | Seite </w:t>
    </w:r>
    <w: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5B6573"/>
        <w:sz w:val="14"/>
      </w:rPr>
      <w:t xml:space="preserve"> von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3" w:color="E6EAF0"/>
        <w:bottom w:val="single" w:sz="5" w:space="3" w:color="E6EAF0"/>
      </w:pBdr>
    </w:pPr>
    <w:r/>
    <w:r>
      <w:rPr>
        <w:rFonts w:ascii="Arial" w:hAnsi="Arial"/>
        <w:b/>
        <w:i w:val="0"/>
        <w:color w:val="2F5EAC"/>
        <w:sz w:val="15"/>
      </w:rPr>
      <w:t>GRIDCAST EUROPE</w:t>
    </w:r>
    <w:r>
      <w:rPr>
        <w:rFonts w:ascii="Arial" w:hAnsi="Arial"/>
        <w:b w:val="0"/>
        <w:i w:val="0"/>
        <w:color w:val="5B6573"/>
        <w:sz w:val="15"/>
      </w:rPr>
      <w:t xml:space="preserve">   |   QUA3CK-Prüfungsprojekt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4" w:line="259" w:lineRule="auto"/>
    </w:pPr>
    <w:rPr>
      <w:rFonts w:ascii="Arial" w:hAnsi="Arial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F5EA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GridCast Europe - Prüfungs-Handout</dc:title>
  <dc:subject>QUA3CK-Projekt Data Analytics und Big Data</dc:subject>
  <dc:creator>Tajan Biazevic</dc:creator>
  <cp:keywords>GridCast Europe, QUA3CK, Stromlast, Machine Learning, Streamlit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