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a5"/>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a7"/>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a3"/>
          </w:pPr>
          <w:r>
            <w:t>Contents</w:t>
          </w:r>
        </w:p>
        <w:p w14:paraId="0F577E5A" w14:textId="2A97C3A6" w:rsidR="00316CFE" w:rsidRDefault="00417B9F">
          <w:pPr>
            <w:pStyle w:val="11"/>
            <w:tabs>
              <w:tab w:val="right" w:leader="dot" w:pos="9350"/>
            </w:tabs>
            <w:rPr>
              <w:rFonts w:eastAsiaTheme="minorEastAsia"/>
              <w:noProof/>
            </w:rPr>
          </w:pPr>
          <w:r>
            <w:rPr>
              <w:rStyle w:val="a4"/>
            </w:rPr>
            <w:fldChar w:fldCharType="begin"/>
          </w:r>
          <w:r w:rsidRPr="00E263EC">
            <w:rPr>
              <w:rStyle w:val="a4"/>
              <w:noProof/>
            </w:rPr>
            <w:instrText xml:space="preserve"> TOC \o "1-3" \h \z \u </w:instrText>
          </w:r>
          <w:r>
            <w:rPr>
              <w:rStyle w:val="a4"/>
            </w:rPr>
            <w:fldChar w:fldCharType="separate"/>
          </w:r>
          <w:hyperlink w:anchor="_Toc37932741" w:history="1">
            <w:r w:rsidR="00316CFE" w:rsidRPr="00E263EC">
              <w:rPr>
                <w:rStyle w:val="a4"/>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069C5">
          <w:pPr>
            <w:pStyle w:val="11"/>
            <w:tabs>
              <w:tab w:val="right" w:leader="dot" w:pos="9350"/>
            </w:tabs>
            <w:rPr>
              <w:rFonts w:eastAsiaTheme="minorEastAsia"/>
              <w:noProof/>
            </w:rPr>
          </w:pPr>
          <w:hyperlink w:anchor="_Toc37932742" w:history="1">
            <w:r w:rsidR="00316CFE" w:rsidRPr="002C2E26">
              <w:rPr>
                <w:rStyle w:val="a4"/>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069C5">
          <w:pPr>
            <w:pStyle w:val="21"/>
            <w:tabs>
              <w:tab w:val="right" w:leader="dot" w:pos="9350"/>
            </w:tabs>
            <w:rPr>
              <w:rFonts w:eastAsiaTheme="minorEastAsia"/>
              <w:noProof/>
            </w:rPr>
          </w:pPr>
          <w:hyperlink w:anchor="_Toc37932743" w:history="1">
            <w:r w:rsidR="00316CFE" w:rsidRPr="002C2E26">
              <w:rPr>
                <w:rStyle w:val="a4"/>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069C5">
          <w:pPr>
            <w:pStyle w:val="21"/>
            <w:tabs>
              <w:tab w:val="right" w:leader="dot" w:pos="9350"/>
            </w:tabs>
            <w:rPr>
              <w:rFonts w:eastAsiaTheme="minorEastAsia"/>
              <w:noProof/>
            </w:rPr>
          </w:pPr>
          <w:hyperlink w:anchor="_Toc37932744" w:history="1">
            <w:r w:rsidR="00316CFE" w:rsidRPr="002C2E26">
              <w:rPr>
                <w:rStyle w:val="a4"/>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069C5">
          <w:pPr>
            <w:pStyle w:val="21"/>
            <w:tabs>
              <w:tab w:val="right" w:leader="dot" w:pos="9350"/>
            </w:tabs>
            <w:rPr>
              <w:rFonts w:eastAsiaTheme="minorEastAsia"/>
              <w:noProof/>
            </w:rPr>
          </w:pPr>
          <w:hyperlink w:anchor="_Toc37932745" w:history="1">
            <w:r w:rsidR="00316CFE" w:rsidRPr="002C2E26">
              <w:rPr>
                <w:rStyle w:val="a4"/>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069C5">
          <w:pPr>
            <w:pStyle w:val="21"/>
            <w:tabs>
              <w:tab w:val="right" w:leader="dot" w:pos="9350"/>
            </w:tabs>
            <w:rPr>
              <w:rFonts w:eastAsiaTheme="minorEastAsia"/>
              <w:noProof/>
            </w:rPr>
          </w:pPr>
          <w:hyperlink w:anchor="_Toc37932746" w:history="1">
            <w:r w:rsidR="00316CFE" w:rsidRPr="002C2E26">
              <w:rPr>
                <w:rStyle w:val="a4"/>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069C5">
          <w:pPr>
            <w:pStyle w:val="21"/>
            <w:tabs>
              <w:tab w:val="right" w:leader="dot" w:pos="9350"/>
            </w:tabs>
            <w:rPr>
              <w:rFonts w:eastAsiaTheme="minorEastAsia"/>
              <w:noProof/>
            </w:rPr>
          </w:pPr>
          <w:hyperlink w:anchor="_Toc37932747" w:history="1">
            <w:r w:rsidR="00316CFE" w:rsidRPr="002C2E26">
              <w:rPr>
                <w:rStyle w:val="a4"/>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069C5">
          <w:pPr>
            <w:pStyle w:val="21"/>
            <w:tabs>
              <w:tab w:val="right" w:leader="dot" w:pos="9350"/>
            </w:tabs>
            <w:rPr>
              <w:rFonts w:eastAsiaTheme="minorEastAsia"/>
              <w:noProof/>
            </w:rPr>
          </w:pPr>
          <w:hyperlink w:anchor="_Toc37932748" w:history="1">
            <w:r w:rsidR="00316CFE" w:rsidRPr="002C2E26">
              <w:rPr>
                <w:rStyle w:val="a4"/>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069C5">
          <w:pPr>
            <w:pStyle w:val="21"/>
            <w:tabs>
              <w:tab w:val="right" w:leader="dot" w:pos="9350"/>
            </w:tabs>
            <w:rPr>
              <w:rFonts w:eastAsiaTheme="minorEastAsia"/>
              <w:noProof/>
            </w:rPr>
          </w:pPr>
          <w:hyperlink w:anchor="_Toc37932749" w:history="1">
            <w:r w:rsidR="00316CFE" w:rsidRPr="002C2E26">
              <w:rPr>
                <w:rStyle w:val="a4"/>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069C5">
          <w:pPr>
            <w:pStyle w:val="21"/>
            <w:tabs>
              <w:tab w:val="right" w:leader="dot" w:pos="9350"/>
            </w:tabs>
            <w:rPr>
              <w:rFonts w:eastAsiaTheme="minorEastAsia"/>
              <w:noProof/>
            </w:rPr>
          </w:pPr>
          <w:hyperlink w:anchor="_Toc37932750" w:history="1">
            <w:r w:rsidR="00316CFE" w:rsidRPr="002C2E26">
              <w:rPr>
                <w:rStyle w:val="a4"/>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069C5">
          <w:pPr>
            <w:pStyle w:val="11"/>
            <w:tabs>
              <w:tab w:val="right" w:leader="dot" w:pos="9350"/>
            </w:tabs>
            <w:rPr>
              <w:rFonts w:eastAsiaTheme="minorEastAsia"/>
              <w:noProof/>
            </w:rPr>
          </w:pPr>
          <w:hyperlink w:anchor="_Toc37932751" w:history="1">
            <w:r w:rsidR="00316CFE" w:rsidRPr="002C2E26">
              <w:rPr>
                <w:rStyle w:val="a4"/>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069C5">
          <w:pPr>
            <w:pStyle w:val="21"/>
            <w:tabs>
              <w:tab w:val="right" w:leader="dot" w:pos="9350"/>
            </w:tabs>
            <w:rPr>
              <w:rFonts w:eastAsiaTheme="minorEastAsia"/>
              <w:noProof/>
            </w:rPr>
          </w:pPr>
          <w:hyperlink w:anchor="_Toc37932752" w:history="1">
            <w:r w:rsidR="00316CFE" w:rsidRPr="002C2E26">
              <w:rPr>
                <w:rStyle w:val="a4"/>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069C5">
          <w:pPr>
            <w:pStyle w:val="21"/>
            <w:tabs>
              <w:tab w:val="right" w:leader="dot" w:pos="9350"/>
            </w:tabs>
            <w:rPr>
              <w:rFonts w:eastAsiaTheme="minorEastAsia"/>
              <w:noProof/>
            </w:rPr>
          </w:pPr>
          <w:hyperlink w:anchor="_Toc37932753" w:history="1">
            <w:r w:rsidR="00316CFE" w:rsidRPr="002C2E26">
              <w:rPr>
                <w:rStyle w:val="a4"/>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069C5" w:rsidP="00810C60">
          <w:pPr>
            <w:pStyle w:val="21"/>
            <w:tabs>
              <w:tab w:val="right" w:leader="dot" w:pos="9350"/>
            </w:tabs>
            <w:rPr>
              <w:b/>
              <w:bCs/>
              <w:noProof/>
            </w:rPr>
          </w:pPr>
          <w:hyperlink w:anchor="_Toc37932754" w:history="1">
            <w:r w:rsidR="00316CFE" w:rsidRPr="002C2E26">
              <w:rPr>
                <w:rStyle w:val="a4"/>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ad"/>
        </w:rPr>
        <w:footnoteReference w:id="1"/>
      </w:r>
      <w:r w:rsidR="00151B76">
        <w:t xml:space="preserve"> </w:t>
      </w:r>
      <w:r w:rsidR="00B8102F">
        <w:t>A</w:t>
      </w:r>
      <w:r w:rsidR="00F07040">
        <w:t xml:space="preserve"> </w:t>
      </w:r>
      <w:hyperlink w:anchor="Mapping" w:history="1">
        <w:r w:rsidR="00F07040" w:rsidRPr="00F8144F">
          <w:rPr>
            <w:rStyle w:val="a4"/>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a4"/>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EF1EE8E" w:rsidR="00355460" w:rsidRPr="00E263EC" w:rsidRDefault="009176C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3AD0A64" w:rsidR="00B66AF3" w:rsidRDefault="006069C5" w:rsidP="00B66AF3">
          <w:r>
            <w:t>1.3.1 Proportion of population covered by at least one social protection benefit [1.3.1] (SI_COV_BENFTS)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C31F48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9FC7352" w:rsidR="0077584C" w:rsidRDefault="009176C1" w:rsidP="0077584C">
          <w:r>
            <w:t>Tajikistan (762)</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7870A77" w:rsidR="00F7784D" w:rsidRDefault="009176C1" w:rsidP="00355460">
          <w:proofErr w:type="spellStart"/>
          <w:r>
            <w:t>ru</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a4"/>
          </w:rPr>
          <w:t>ISO web page</w:t>
        </w:r>
      </w:hyperlink>
      <w:r>
        <w:t>.</w:t>
      </w:r>
    </w:p>
    <w:p w14:paraId="2052F87C" w14:textId="77777777" w:rsidR="009165F2" w:rsidRDefault="009165F2" w:rsidP="00355460"/>
    <w:p w14:paraId="7FA6D4D2" w14:textId="2DDC3FB5" w:rsidR="00DB1DCD" w:rsidRDefault="00DB1DCD" w:rsidP="00DB1DCD">
      <w:pPr>
        <w:pStyle w:val="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9988E61"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E3A7936" w:rsidR="005377B9" w:rsidRPr="009176C1" w:rsidRDefault="009176C1" w:rsidP="009F305C">
            <w:pPr>
              <w:rPr>
                <w:lang w:val="ru-RU"/>
              </w:rPr>
            </w:pPr>
            <w:r w:rsidRPr="009176C1">
              <w:rPr>
                <w:lang w:val="ru-RU"/>
              </w:rPr>
              <w:t>1. Повсеместная ликвидация нищеты во всех её формах</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CC9DC37" w:rsidR="005377B9" w:rsidRPr="006069C5" w:rsidRDefault="006069C5" w:rsidP="009F305C">
            <w:pPr>
              <w:rPr>
                <w:lang w:val="ru-RU"/>
              </w:rPr>
            </w:pPr>
            <w:r w:rsidRPr="006069C5">
              <w:rPr>
                <w:lang w:val="ru-RU"/>
              </w:rPr>
              <w:t>1.3</w:t>
            </w:r>
            <w:proofErr w:type="gramStart"/>
            <w:r w:rsidRPr="006069C5">
              <w:rPr>
                <w:lang w:val="ru-RU"/>
              </w:rPr>
              <w:t>: Внедрить</w:t>
            </w:r>
            <w:proofErr w:type="gramEnd"/>
            <w:r w:rsidRPr="006069C5">
              <w:rPr>
                <w:lang w:val="ru-RU"/>
              </w:rPr>
              <w:t xml:space="preserve"> на национальном уровне надлежащие системы и меры социальной защиты для всех, включая установление минимальных уровней, и к 2030 году достичь существенного охвата малообеспеченных и уязвимых слоев населения</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CCD7EBE" w:rsidR="005377B9" w:rsidRPr="006069C5" w:rsidRDefault="006069C5" w:rsidP="006069C5">
            <w:pPr>
              <w:pStyle w:val="Default"/>
              <w:jc w:val="both"/>
              <w:rPr>
                <w:color w:val="auto"/>
                <w:sz w:val="22"/>
                <w:szCs w:val="22"/>
                <w:lang w:val="ru-RU"/>
              </w:rPr>
            </w:pPr>
            <w:r w:rsidRPr="006069C5">
              <w:rPr>
                <w:color w:val="auto"/>
                <w:sz w:val="22"/>
                <w:szCs w:val="22"/>
                <w:lang w:val="ru-RU"/>
              </w:rPr>
              <w:t xml:space="preserve">1.3.1 Доля населения, охватываемого минимальным уровнем/системами социальной защиты, в разбивке по полу, с выделением детей, безработных, пожилых, инвалидов, беременных, новорожденных, лиц, получивших трудовое увечье, и бедных и уязвимых </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A80919" w:rsidR="003E7389" w:rsidRPr="009176C1" w:rsidRDefault="009176C1" w:rsidP="009F305C">
            <w:pPr>
              <w:rPr>
                <w:lang w:val="ru-RU"/>
              </w:rPr>
            </w:pPr>
            <w:r w:rsidRPr="009176C1">
              <w:rPr>
                <w:rFonts w:ascii="Times New Roman" w:hAnsi="Times New Roman"/>
                <w:lang w:val="ru-RU"/>
              </w:rPr>
              <w:t>АС, управление статистики труда, занятости населения, социальной статистики и статистики домашних хозяйств, управление сводно-экономического анализа и международных связей</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1D263F0" w:rsidR="003E7389" w:rsidRPr="009F305C" w:rsidRDefault="009176C1" w:rsidP="009F305C">
            <w:proofErr w:type="spellStart"/>
            <w:r w:rsidRPr="00B06C92">
              <w:t>Набизода</w:t>
            </w:r>
            <w:proofErr w:type="spellEnd"/>
            <w:r w:rsidRPr="00B06C92">
              <w:t xml:space="preserve"> </w:t>
            </w:r>
            <w:proofErr w:type="spellStart"/>
            <w:r w:rsidRPr="00B06C92">
              <w:t>Абдували</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13DF19B" w:rsidR="003E7389" w:rsidRPr="009F305C" w:rsidRDefault="009176C1" w:rsidP="009176C1">
            <w:pPr>
              <w:pStyle w:val="Default"/>
              <w:spacing w:line="216" w:lineRule="auto"/>
            </w:pPr>
            <w:r w:rsidRPr="00B06C92">
              <w:rPr>
                <w:color w:val="auto"/>
                <w:sz w:val="22"/>
                <w:szCs w:val="22"/>
              </w:rPr>
              <w:t>221-49-91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71DA0AC" w:rsidR="003E7389" w:rsidRPr="009F305C" w:rsidRDefault="009176C1" w:rsidP="009F305C">
            <w:r w:rsidRPr="00B06C92">
              <w:t>abduvali@stat.tj</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2F4A0EE"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 xml:space="preserve">Этот показатель отражает долю населения, охваченную системами социальной защиты.  </w:t>
            </w:r>
          </w:p>
          <w:p w14:paraId="4DCE8342"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Численность получателей государственных социальных пособий — число лиц на конец (начало) отчетного года, которым назначена ежемесячная денежная сумма на условиях, предусмотренных законами Республики Таджикистан  «О страховых и государственных пенсиях», закон Республики Таджикистан  «О содействии занятости населения», закон Республики Таджикистан  «Об адресной социальной помощи», закон Республики Таджикистан  «О государственном социальном страховании» и другие нормативно правовые акты.</w:t>
            </w:r>
          </w:p>
          <w:p w14:paraId="32CDE613" w14:textId="77777777" w:rsidR="0015178E" w:rsidRDefault="006069C5" w:rsidP="006069C5">
            <w:pPr>
              <w:rPr>
                <w:lang w:val="ru-RU"/>
              </w:rPr>
            </w:pPr>
            <w:r w:rsidRPr="006069C5">
              <w:rPr>
                <w:lang w:val="ru-RU"/>
              </w:rPr>
              <w:t>Общая численность получателей государственных социальных пособий подсчитывается по числу получателей, состоящих на учете в органах социальной защиты.</w:t>
            </w:r>
          </w:p>
          <w:p w14:paraId="322A8453"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Пособие по безработице – гарантированная государством временная материальная поддержка, оказываемая официально зарегистрированным безработным гражданам, имеющим право на его получение.</w:t>
            </w:r>
          </w:p>
          <w:p w14:paraId="24234197"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Адресное социальное пособие - назначается и выплачивается семьям и гражданам, постоянно проживающим на территории Республики Таджикистан, по оценкам материально-бытового положения и уровня их благосостояния признанных малоимущими;</w:t>
            </w:r>
          </w:p>
          <w:p w14:paraId="779804BC"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 xml:space="preserve">Пенсия – страховая выплата, производимая при наступлении страхового случая застрахованному лицу в размере и на условиях, установленных законодательством о государственном пенсионном социальном страховании. Различают следующие виды пенсий: </w:t>
            </w:r>
          </w:p>
          <w:p w14:paraId="1DFA9A0F"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 xml:space="preserve">а) по возрасту; </w:t>
            </w:r>
          </w:p>
          <w:p w14:paraId="31F4EB5F"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 xml:space="preserve">б) по инвалидности; </w:t>
            </w:r>
          </w:p>
          <w:p w14:paraId="1BF65EA6"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 xml:space="preserve">в) по случаю потери кормильца. </w:t>
            </w:r>
          </w:p>
          <w:p w14:paraId="5599D68D"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 xml:space="preserve">Численность получателей пенсий — число лиц на конец (начало) отчетного года, которым назначена ежемесячная денежная сумма на условиях, предусмотренных законодательством о пенсионном обеспечении. Общая численность получателей пенсий отдельно подсчитывается по числу лицевых счетов пенсионеров, состоящих на учете в органах Социального фонда, других министерств и ведомств, а также Накопительного пенсионного фонда. Государственные социальные пособия представляют собой гарантированную Конституцией Таджикской Республики материальную поддержку малообеспеченным семьям и гражданам, а также нетрудоспособным гражданам при отсутствии права на пенсионное обеспечение. Установлены следующие виды государственных пособий: </w:t>
            </w:r>
          </w:p>
          <w:p w14:paraId="09C8CDAC"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 xml:space="preserve">1) Адресная социальная помощь; </w:t>
            </w:r>
          </w:p>
          <w:p w14:paraId="7786E8EB"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2) Пособие по безработице;</w:t>
            </w:r>
          </w:p>
          <w:p w14:paraId="0DA26A5F"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3) Пособий государственного социального страхования: по временной нетрудоспособности и по беременности и родам;</w:t>
            </w:r>
          </w:p>
          <w:p w14:paraId="2AD780AD"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 xml:space="preserve">В систему социальных стандартов входят социальные стандарты, устанавливаемые в следующих областях социальной сферы: </w:t>
            </w:r>
          </w:p>
          <w:p w14:paraId="28702F3C"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 xml:space="preserve">- здравоохранение; - социальная защита; - образование; - содействие занятости населения; - обеспечение экологической безопасности; - обеспечение правового порядка, безопасности граждан и бесплатной юридической помощи; - культура; - физическая культура. </w:t>
            </w:r>
          </w:p>
          <w:p w14:paraId="6C84E827" w14:textId="72D0E816" w:rsidR="006069C5" w:rsidRPr="00CF4120" w:rsidRDefault="006069C5" w:rsidP="006069C5">
            <w:pPr>
              <w:rPr>
                <w:lang w:val="ru-RU"/>
              </w:rPr>
            </w:pPr>
            <w:r w:rsidRPr="006069C5">
              <w:rPr>
                <w:lang w:val="ru-RU"/>
              </w:rPr>
              <w:t>Доля населения, охваченного минимальным уровнем/ системами социальной защиты, указывает насколько защищенными являются условия жизни для населения.</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38A6945" w:rsidR="0035311B" w:rsidRPr="006069C5" w:rsidRDefault="006069C5" w:rsidP="009F305C">
            <w:pPr>
              <w:rPr>
                <w:lang w:val="ru-RU"/>
              </w:rPr>
            </w:pPr>
            <w:r w:rsidRPr="006069C5">
              <w:rPr>
                <w:lang w:val="ru-RU"/>
              </w:rPr>
              <w:t xml:space="preserve">Источниками информации для расчета показателя является государственная статистическая отчетность по формам №94 РИК «Отчет о численности пенсионеров,  суммах назначенных выплат месячных пенсий и пособий»,  №8-социальная «Отчет о выплате пенсий и пособий», №1-труд (трудоустройство) «Отчет о трудоустройстве населения, обратившихся в Агентства труда и занятости населения Министерства труда, миграции и занятости населения Республики Таджикистан».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1389090"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 xml:space="preserve">Метод наблюдения – сплошное наблюдение: государственная статистическая отчетность. </w:t>
            </w:r>
          </w:p>
          <w:p w14:paraId="220EDC5A"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 xml:space="preserve">Объектом статистического наблюдения является численность и состав пенсионеров и лиц, получающих различного рода государственные пособия, а также общие выплаты пенсий и пособий (по категориям) и средние размеры пенсий и пособий. </w:t>
            </w:r>
          </w:p>
          <w:p w14:paraId="60E54013" w14:textId="2F281BDF" w:rsidR="0035311B" w:rsidRPr="00CF4120" w:rsidRDefault="006069C5" w:rsidP="006069C5">
            <w:pPr>
              <w:rPr>
                <w:lang w:val="ru-RU"/>
              </w:rPr>
            </w:pPr>
            <w:r w:rsidRPr="006069C5">
              <w:rPr>
                <w:lang w:val="ru-RU"/>
              </w:rPr>
              <w:t xml:space="preserve">Единицами наблюдения являются статистические единицы, осуществляющие организацию пенсионного обеспечения и обязательного социального обеспечения. </w:t>
            </w:r>
            <w:r w:rsidR="00CF4120" w:rsidRPr="00CF4120">
              <w:rPr>
                <w:lang w:val="ru-RU"/>
              </w:rPr>
              <w:t xml:space="preserve">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4053D54" w:rsidR="007F2D9F" w:rsidRPr="00CF4120" w:rsidRDefault="007F2D9F" w:rsidP="009F305C">
            <w:pPr>
              <w:rPr>
                <w:lang w:val="ru-RU"/>
              </w:rPr>
            </w:p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A4F7546" w:rsidR="007F2D9F" w:rsidRPr="00CF4120" w:rsidRDefault="006069C5" w:rsidP="009F305C">
            <w:pPr>
              <w:rPr>
                <w:lang w:val="ru-RU"/>
              </w:rPr>
            </w:pPr>
            <w:r w:rsidRPr="006069C5">
              <w:rPr>
                <w:lang w:val="ru-RU"/>
              </w:rPr>
              <w:t>Существует риск двойного учета бенефициаров систем социального обеспечения или даже лиц, охваченных ими, из-за наличия «дополнительных» пенсионных схем. И даже если основные источники двойного подсчета исключены, может произойти двойной подсчет, если, например, получатели перемещаются между различными пенсионными схемами в течение своей жизни и получают преимущества от нескольких схем.</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71105E3" w14:textId="77777777" w:rsidR="006069C5" w:rsidRPr="006069C5" w:rsidRDefault="006069C5" w:rsidP="006069C5">
            <w:pPr>
              <w:pStyle w:val="Default"/>
              <w:jc w:val="both"/>
              <w:rPr>
                <w:color w:val="auto"/>
                <w:sz w:val="22"/>
                <w:szCs w:val="22"/>
                <w:lang w:val="ru-RU"/>
              </w:rPr>
            </w:pPr>
            <w:r w:rsidRPr="006069C5">
              <w:rPr>
                <w:color w:val="auto"/>
                <w:sz w:val="22"/>
                <w:szCs w:val="22"/>
                <w:lang w:val="ru-RU"/>
              </w:rPr>
              <w:t xml:space="preserve">Показатель определяется как отношение численности получающих пенсии и пособия к общей численности постоянного населения и рассчитывается по формуле:  </w:t>
            </w:r>
          </w:p>
          <w:p w14:paraId="331B8A97" w14:textId="77777777" w:rsidR="006069C5" w:rsidRPr="006069C5" w:rsidRDefault="006069C5" w:rsidP="006069C5">
            <w:pPr>
              <w:pStyle w:val="Default"/>
              <w:jc w:val="both"/>
              <w:rPr>
                <w:color w:val="auto"/>
                <w:sz w:val="22"/>
                <w:szCs w:val="22"/>
                <w:lang w:val="ru-RU"/>
              </w:rPr>
            </w:pPr>
            <w:r w:rsidRPr="00B06C92">
              <w:rPr>
                <w:rFonts w:ascii="Cambria Math" w:hAnsi="Cambria Math" w:cs="Cambria Math"/>
                <w:color w:val="auto"/>
                <w:sz w:val="22"/>
                <w:szCs w:val="22"/>
              </w:rPr>
              <w:t>𝑦𝑦</w:t>
            </w:r>
            <w:r w:rsidRPr="006069C5">
              <w:rPr>
                <w:rFonts w:ascii="Cambria Math" w:hAnsi="Cambria Math" w:cs="Cambria Math"/>
                <w:color w:val="auto"/>
                <w:sz w:val="22"/>
                <w:szCs w:val="22"/>
                <w:lang w:val="ru-RU"/>
              </w:rPr>
              <w:t>=</w:t>
            </w:r>
            <w:r w:rsidRPr="00B06C92">
              <w:rPr>
                <w:rFonts w:ascii="Cambria Math" w:hAnsi="Cambria Math" w:cs="Cambria Math"/>
                <w:color w:val="auto"/>
                <w:sz w:val="16"/>
                <w:szCs w:val="16"/>
              </w:rPr>
              <w:t>𝑛𝑛𝑁𝑁</w:t>
            </w:r>
            <w:r w:rsidRPr="006069C5">
              <w:rPr>
                <w:rFonts w:ascii="Cambria Math" w:hAnsi="Cambria Math" w:cs="Cambria Math"/>
                <w:color w:val="auto"/>
                <w:sz w:val="22"/>
                <w:szCs w:val="22"/>
                <w:lang w:val="ru-RU"/>
              </w:rPr>
              <w:t>∗</w:t>
            </w:r>
            <w:proofErr w:type="gramStart"/>
            <w:r w:rsidRPr="006069C5">
              <w:rPr>
                <w:rFonts w:ascii="Cambria Math" w:hAnsi="Cambria Math" w:cs="Cambria Math"/>
                <w:color w:val="auto"/>
                <w:sz w:val="22"/>
                <w:szCs w:val="22"/>
                <w:lang w:val="ru-RU"/>
              </w:rPr>
              <w:t>100</w:t>
            </w:r>
            <w:r w:rsidRPr="006069C5">
              <w:rPr>
                <w:color w:val="auto"/>
                <w:sz w:val="22"/>
                <w:szCs w:val="22"/>
                <w:lang w:val="ru-RU"/>
              </w:rPr>
              <w:t xml:space="preserve">  ,</w:t>
            </w:r>
            <w:proofErr w:type="gramEnd"/>
            <w:r w:rsidRPr="006069C5">
              <w:rPr>
                <w:color w:val="auto"/>
                <w:sz w:val="22"/>
                <w:szCs w:val="22"/>
                <w:lang w:val="ru-RU"/>
              </w:rPr>
              <w:t xml:space="preserve"> где  </w:t>
            </w:r>
          </w:p>
          <w:p w14:paraId="42A09461" w14:textId="77777777" w:rsidR="006069C5" w:rsidRPr="006069C5" w:rsidRDefault="006069C5" w:rsidP="006069C5">
            <w:pPr>
              <w:pStyle w:val="Default"/>
              <w:jc w:val="both"/>
              <w:rPr>
                <w:color w:val="auto"/>
                <w:sz w:val="22"/>
                <w:szCs w:val="22"/>
                <w:lang w:val="ru-RU"/>
              </w:rPr>
            </w:pPr>
            <w:r w:rsidRPr="00B06C92">
              <w:rPr>
                <w:color w:val="auto"/>
                <w:sz w:val="22"/>
                <w:szCs w:val="22"/>
              </w:rPr>
              <w:t>n</w:t>
            </w:r>
            <w:r w:rsidRPr="006069C5">
              <w:rPr>
                <w:color w:val="auto"/>
                <w:sz w:val="22"/>
                <w:szCs w:val="22"/>
                <w:lang w:val="ru-RU"/>
              </w:rPr>
              <w:t xml:space="preserve"> = общая численность получателей пенсий и пособий, </w:t>
            </w:r>
          </w:p>
          <w:p w14:paraId="5A53B8A7" w14:textId="256918B1" w:rsidR="007F2D9F" w:rsidRPr="006069C5" w:rsidRDefault="006069C5" w:rsidP="006069C5">
            <w:pPr>
              <w:rPr>
                <w:lang w:val="ru-RU"/>
              </w:rPr>
            </w:pPr>
            <w:r w:rsidRPr="00B06C92">
              <w:t>N</w:t>
            </w:r>
            <w:r w:rsidRPr="006069C5">
              <w:rPr>
                <w:lang w:val="ru-RU"/>
              </w:rPr>
              <w:t xml:space="preserve"> = общая численность постоянного населения.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7E390FD" w:rsidR="007F2D9F" w:rsidRPr="006069C5" w:rsidRDefault="006069C5" w:rsidP="009F305C">
            <w:pPr>
              <w:rPr>
                <w:lang w:val="ru-RU"/>
              </w:rPr>
            </w:pPr>
            <w:r w:rsidRPr="006069C5">
              <w:rPr>
                <w:lang w:val="ru-RU"/>
              </w:rPr>
              <w:t>Качество обеспечивается контролем за полнотой и достоверностью административных данных, которые осуществляются АС РТ.</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ABCBC61" w:rsidR="00CF4120" w:rsidRPr="009F305C" w:rsidRDefault="00CF4120" w:rsidP="009F305C">
            <w:proofErr w:type="spellStart"/>
            <w:r w:rsidRPr="00B06C92">
              <w:t>Национальный</w:t>
            </w:r>
            <w:proofErr w:type="spellEnd"/>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2C55440" w:rsidR="006A7EF1" w:rsidRPr="00BD75FC" w:rsidRDefault="006069C5" w:rsidP="009F305C">
            <w:pPr>
              <w:rPr>
                <w:lang w:val="ru-RU"/>
              </w:rPr>
            </w:pPr>
            <w:r w:rsidRPr="00B06C92">
              <w:rPr>
                <w:rFonts w:ascii="Times New Roman" w:hAnsi="Times New Roman"/>
                <w:sz w:val="24"/>
                <w:szCs w:val="24"/>
              </w:rPr>
              <w:t>МОТ</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E8F68CA" w14:textId="77777777" w:rsidR="006069C5" w:rsidRPr="006069C5" w:rsidRDefault="006069C5" w:rsidP="006069C5">
            <w:pPr>
              <w:pStyle w:val="Default"/>
              <w:rPr>
                <w:color w:val="auto"/>
                <w:sz w:val="22"/>
                <w:szCs w:val="22"/>
                <w:lang w:val="ru-RU"/>
              </w:rPr>
            </w:pPr>
            <w:r w:rsidRPr="006069C5">
              <w:rPr>
                <w:color w:val="auto"/>
                <w:sz w:val="22"/>
                <w:szCs w:val="22"/>
                <w:lang w:val="ru-RU"/>
              </w:rPr>
              <w:t>Национальная платформа отчётности ЦУР Таджикистана:  на разработке</w:t>
            </w:r>
          </w:p>
          <w:p w14:paraId="4EB3CA99" w14:textId="77777777" w:rsidR="006069C5" w:rsidRPr="006069C5" w:rsidRDefault="006069C5" w:rsidP="006069C5">
            <w:pPr>
              <w:pStyle w:val="Default"/>
              <w:rPr>
                <w:color w:val="auto"/>
                <w:sz w:val="22"/>
                <w:szCs w:val="22"/>
                <w:lang w:val="ru-RU"/>
              </w:rPr>
            </w:pPr>
          </w:p>
          <w:p w14:paraId="627038C8" w14:textId="77777777" w:rsidR="006069C5" w:rsidRPr="006069C5" w:rsidRDefault="006069C5" w:rsidP="006069C5">
            <w:pPr>
              <w:pStyle w:val="Default"/>
              <w:rPr>
                <w:color w:val="auto"/>
                <w:sz w:val="22"/>
                <w:szCs w:val="22"/>
                <w:lang w:val="ru-RU"/>
              </w:rPr>
            </w:pPr>
            <w:r w:rsidRPr="006069C5">
              <w:rPr>
                <w:color w:val="auto"/>
                <w:sz w:val="22"/>
                <w:szCs w:val="22"/>
                <w:lang w:val="ru-RU"/>
              </w:rPr>
              <w:t xml:space="preserve">Ссылки: Статистика МОТ: </w:t>
            </w:r>
            <w:r w:rsidRPr="00B06C92">
              <w:rPr>
                <w:color w:val="auto"/>
                <w:sz w:val="22"/>
                <w:szCs w:val="22"/>
              </w:rPr>
              <w:t>www</w:t>
            </w:r>
            <w:r w:rsidRPr="006069C5">
              <w:rPr>
                <w:color w:val="auto"/>
                <w:sz w:val="22"/>
                <w:szCs w:val="22"/>
                <w:lang w:val="ru-RU"/>
              </w:rPr>
              <w:t>.</w:t>
            </w:r>
            <w:r w:rsidRPr="00B06C92">
              <w:rPr>
                <w:color w:val="auto"/>
                <w:sz w:val="22"/>
                <w:szCs w:val="22"/>
              </w:rPr>
              <w:t>ilo</w:t>
            </w:r>
            <w:r w:rsidRPr="006069C5">
              <w:rPr>
                <w:color w:val="auto"/>
                <w:sz w:val="22"/>
                <w:szCs w:val="22"/>
                <w:lang w:val="ru-RU"/>
              </w:rPr>
              <w:t>.</w:t>
            </w:r>
            <w:r w:rsidRPr="00B06C92">
              <w:rPr>
                <w:color w:val="auto"/>
                <w:sz w:val="22"/>
                <w:szCs w:val="22"/>
              </w:rPr>
              <w:t>org</w:t>
            </w:r>
            <w:r w:rsidRPr="006069C5">
              <w:rPr>
                <w:color w:val="auto"/>
                <w:sz w:val="22"/>
                <w:szCs w:val="22"/>
                <w:lang w:val="ru-RU"/>
              </w:rPr>
              <w:t>/</w:t>
            </w:r>
            <w:r w:rsidRPr="00B06C92">
              <w:rPr>
                <w:color w:val="auto"/>
                <w:sz w:val="22"/>
                <w:szCs w:val="22"/>
              </w:rPr>
              <w:t>ilostat</w:t>
            </w:r>
            <w:r w:rsidRPr="006069C5">
              <w:rPr>
                <w:color w:val="auto"/>
                <w:sz w:val="22"/>
                <w:szCs w:val="22"/>
                <w:lang w:val="ru-RU"/>
              </w:rPr>
              <w:t xml:space="preserve"> </w:t>
            </w:r>
          </w:p>
          <w:p w14:paraId="063F2B66" w14:textId="77777777" w:rsidR="006069C5" w:rsidRPr="006069C5" w:rsidRDefault="006069C5" w:rsidP="006069C5">
            <w:pPr>
              <w:pStyle w:val="Default"/>
              <w:rPr>
                <w:color w:val="auto"/>
                <w:sz w:val="22"/>
                <w:szCs w:val="22"/>
                <w:lang w:val="ru-RU"/>
              </w:rPr>
            </w:pPr>
            <w:r w:rsidRPr="006069C5">
              <w:rPr>
                <w:color w:val="auto"/>
                <w:sz w:val="22"/>
                <w:szCs w:val="22"/>
                <w:lang w:val="ru-RU"/>
              </w:rPr>
              <w:t xml:space="preserve">Статистика и показатели социальной защиты МОТ: </w:t>
            </w:r>
            <w:r w:rsidRPr="00B06C92">
              <w:rPr>
                <w:color w:val="auto"/>
                <w:sz w:val="22"/>
                <w:szCs w:val="22"/>
              </w:rPr>
              <w:t>http</w:t>
            </w:r>
            <w:r w:rsidRPr="006069C5">
              <w:rPr>
                <w:color w:val="auto"/>
                <w:sz w:val="22"/>
                <w:szCs w:val="22"/>
                <w:lang w:val="ru-RU"/>
              </w:rPr>
              <w:t>://</w:t>
            </w:r>
            <w:r w:rsidRPr="00B06C92">
              <w:rPr>
                <w:color w:val="auto"/>
                <w:sz w:val="22"/>
                <w:szCs w:val="22"/>
              </w:rPr>
              <w:t>www</w:t>
            </w:r>
            <w:r w:rsidRPr="006069C5">
              <w:rPr>
                <w:color w:val="auto"/>
                <w:sz w:val="22"/>
                <w:szCs w:val="22"/>
                <w:lang w:val="ru-RU"/>
              </w:rPr>
              <w:t>.</w:t>
            </w:r>
            <w:r w:rsidRPr="00B06C92">
              <w:rPr>
                <w:color w:val="auto"/>
                <w:sz w:val="22"/>
                <w:szCs w:val="22"/>
              </w:rPr>
              <w:t>socialsecurityextension</w:t>
            </w:r>
            <w:r w:rsidRPr="006069C5">
              <w:rPr>
                <w:color w:val="auto"/>
                <w:sz w:val="22"/>
                <w:szCs w:val="22"/>
                <w:lang w:val="ru-RU"/>
              </w:rPr>
              <w:t>.</w:t>
            </w:r>
            <w:r w:rsidRPr="00B06C92">
              <w:rPr>
                <w:color w:val="auto"/>
                <w:sz w:val="22"/>
                <w:szCs w:val="22"/>
              </w:rPr>
              <w:t>org</w:t>
            </w:r>
            <w:r w:rsidRPr="006069C5">
              <w:rPr>
                <w:color w:val="auto"/>
                <w:sz w:val="22"/>
                <w:szCs w:val="22"/>
                <w:lang w:val="ru-RU"/>
              </w:rPr>
              <w:t>/</w:t>
            </w:r>
            <w:r w:rsidRPr="00B06C92">
              <w:rPr>
                <w:color w:val="auto"/>
                <w:sz w:val="22"/>
                <w:szCs w:val="22"/>
              </w:rPr>
              <w:t>gimi</w:t>
            </w:r>
            <w:r w:rsidRPr="006069C5">
              <w:rPr>
                <w:color w:val="auto"/>
                <w:sz w:val="22"/>
                <w:szCs w:val="22"/>
                <w:lang w:val="ru-RU"/>
              </w:rPr>
              <w:t>/</w:t>
            </w:r>
            <w:r w:rsidRPr="00B06C92">
              <w:rPr>
                <w:color w:val="auto"/>
                <w:sz w:val="22"/>
                <w:szCs w:val="22"/>
              </w:rPr>
              <w:t>gess</w:t>
            </w:r>
            <w:r w:rsidRPr="006069C5">
              <w:rPr>
                <w:color w:val="auto"/>
                <w:sz w:val="22"/>
                <w:szCs w:val="22"/>
                <w:lang w:val="ru-RU"/>
              </w:rPr>
              <w:t>/</w:t>
            </w:r>
            <w:r w:rsidRPr="00B06C92">
              <w:rPr>
                <w:color w:val="auto"/>
                <w:sz w:val="22"/>
                <w:szCs w:val="22"/>
              </w:rPr>
              <w:t>ShowTheme</w:t>
            </w:r>
            <w:r w:rsidRPr="006069C5">
              <w:rPr>
                <w:color w:val="auto"/>
                <w:sz w:val="22"/>
                <w:szCs w:val="22"/>
                <w:lang w:val="ru-RU"/>
              </w:rPr>
              <w:t>.</w:t>
            </w:r>
            <w:r w:rsidRPr="00B06C92">
              <w:rPr>
                <w:color w:val="auto"/>
                <w:sz w:val="22"/>
                <w:szCs w:val="22"/>
              </w:rPr>
              <w:t>action</w:t>
            </w:r>
            <w:r w:rsidRPr="006069C5">
              <w:rPr>
                <w:color w:val="auto"/>
                <w:sz w:val="22"/>
                <w:szCs w:val="22"/>
                <w:lang w:val="ru-RU"/>
              </w:rPr>
              <w:t>?</w:t>
            </w:r>
            <w:r w:rsidRPr="00B06C92">
              <w:rPr>
                <w:color w:val="auto"/>
                <w:sz w:val="22"/>
                <w:szCs w:val="22"/>
              </w:rPr>
              <w:t>th</w:t>
            </w:r>
            <w:r w:rsidRPr="006069C5">
              <w:rPr>
                <w:color w:val="auto"/>
                <w:sz w:val="22"/>
                <w:szCs w:val="22"/>
                <w:lang w:val="ru-RU"/>
              </w:rPr>
              <w:t>.</w:t>
            </w:r>
            <w:r w:rsidRPr="00B06C92">
              <w:rPr>
                <w:color w:val="auto"/>
                <w:sz w:val="22"/>
                <w:szCs w:val="22"/>
              </w:rPr>
              <w:t>themeId</w:t>
            </w:r>
            <w:r w:rsidRPr="006069C5">
              <w:rPr>
                <w:color w:val="auto"/>
                <w:sz w:val="22"/>
                <w:szCs w:val="22"/>
                <w:lang w:val="ru-RU"/>
              </w:rPr>
              <w:t xml:space="preserve">=10 </w:t>
            </w:r>
          </w:p>
          <w:p w14:paraId="40709A42" w14:textId="77777777" w:rsidR="006069C5" w:rsidRPr="006069C5" w:rsidRDefault="006069C5" w:rsidP="006069C5">
            <w:pPr>
              <w:pStyle w:val="Default"/>
              <w:rPr>
                <w:color w:val="auto"/>
                <w:sz w:val="22"/>
                <w:szCs w:val="22"/>
                <w:lang w:val="ru-RU"/>
              </w:rPr>
            </w:pPr>
            <w:r w:rsidRPr="006069C5">
              <w:rPr>
                <w:color w:val="auto"/>
                <w:sz w:val="22"/>
                <w:szCs w:val="22"/>
                <w:lang w:val="ru-RU"/>
              </w:rPr>
              <w:t xml:space="preserve">Рекомендация МОТ по социальной защите (№ 202), 2012 год: </w:t>
            </w:r>
          </w:p>
          <w:p w14:paraId="3ADAA447" w14:textId="77777777" w:rsidR="006069C5" w:rsidRPr="006069C5" w:rsidRDefault="006069C5" w:rsidP="006069C5">
            <w:pPr>
              <w:pStyle w:val="Default"/>
              <w:rPr>
                <w:color w:val="auto"/>
                <w:sz w:val="22"/>
                <w:szCs w:val="22"/>
                <w:lang w:val="ru-RU"/>
              </w:rPr>
            </w:pPr>
            <w:r w:rsidRPr="00B06C92">
              <w:rPr>
                <w:color w:val="auto"/>
                <w:sz w:val="22"/>
                <w:szCs w:val="22"/>
              </w:rPr>
              <w:t>http</w:t>
            </w:r>
            <w:r w:rsidRPr="006069C5">
              <w:rPr>
                <w:color w:val="auto"/>
                <w:sz w:val="22"/>
                <w:szCs w:val="22"/>
                <w:lang w:val="ru-RU"/>
              </w:rPr>
              <w:t>://</w:t>
            </w:r>
            <w:r w:rsidRPr="00B06C92">
              <w:rPr>
                <w:color w:val="auto"/>
                <w:sz w:val="22"/>
                <w:szCs w:val="22"/>
              </w:rPr>
              <w:t>www</w:t>
            </w:r>
            <w:r w:rsidRPr="006069C5">
              <w:rPr>
                <w:color w:val="auto"/>
                <w:sz w:val="22"/>
                <w:szCs w:val="22"/>
                <w:lang w:val="ru-RU"/>
              </w:rPr>
              <w:t>.</w:t>
            </w:r>
            <w:r w:rsidRPr="00B06C92">
              <w:rPr>
                <w:color w:val="auto"/>
                <w:sz w:val="22"/>
                <w:szCs w:val="22"/>
              </w:rPr>
              <w:t>ilo</w:t>
            </w:r>
            <w:r w:rsidRPr="006069C5">
              <w:rPr>
                <w:color w:val="auto"/>
                <w:sz w:val="22"/>
                <w:szCs w:val="22"/>
                <w:lang w:val="ru-RU"/>
              </w:rPr>
              <w:t>.</w:t>
            </w:r>
            <w:r w:rsidRPr="00B06C92">
              <w:rPr>
                <w:color w:val="auto"/>
                <w:sz w:val="22"/>
                <w:szCs w:val="22"/>
              </w:rPr>
              <w:t>org</w:t>
            </w:r>
            <w:r w:rsidRPr="006069C5">
              <w:rPr>
                <w:color w:val="auto"/>
                <w:sz w:val="22"/>
                <w:szCs w:val="22"/>
                <w:lang w:val="ru-RU"/>
              </w:rPr>
              <w:t>/</w:t>
            </w:r>
            <w:r w:rsidRPr="00B06C92">
              <w:rPr>
                <w:color w:val="auto"/>
                <w:sz w:val="22"/>
                <w:szCs w:val="22"/>
              </w:rPr>
              <w:t>dyn</w:t>
            </w:r>
            <w:r w:rsidRPr="006069C5">
              <w:rPr>
                <w:color w:val="auto"/>
                <w:sz w:val="22"/>
                <w:szCs w:val="22"/>
                <w:lang w:val="ru-RU"/>
              </w:rPr>
              <w:t>/</w:t>
            </w:r>
            <w:r w:rsidRPr="00B06C92">
              <w:rPr>
                <w:color w:val="auto"/>
                <w:sz w:val="22"/>
                <w:szCs w:val="22"/>
              </w:rPr>
              <w:t>normlex</w:t>
            </w:r>
            <w:r w:rsidRPr="006069C5">
              <w:rPr>
                <w:color w:val="auto"/>
                <w:sz w:val="22"/>
                <w:szCs w:val="22"/>
                <w:lang w:val="ru-RU"/>
              </w:rPr>
              <w:t>/</w:t>
            </w:r>
            <w:r w:rsidRPr="00B06C92">
              <w:rPr>
                <w:color w:val="auto"/>
                <w:sz w:val="22"/>
                <w:szCs w:val="22"/>
              </w:rPr>
              <w:t>en</w:t>
            </w:r>
            <w:r w:rsidRPr="006069C5">
              <w:rPr>
                <w:color w:val="auto"/>
                <w:sz w:val="22"/>
                <w:szCs w:val="22"/>
                <w:lang w:val="ru-RU"/>
              </w:rPr>
              <w:t>/</w:t>
            </w:r>
            <w:r w:rsidRPr="00B06C92">
              <w:rPr>
                <w:color w:val="auto"/>
                <w:sz w:val="22"/>
                <w:szCs w:val="22"/>
              </w:rPr>
              <w:t>f</w:t>
            </w:r>
            <w:r w:rsidRPr="006069C5">
              <w:rPr>
                <w:color w:val="auto"/>
                <w:sz w:val="22"/>
                <w:szCs w:val="22"/>
                <w:lang w:val="ru-RU"/>
              </w:rPr>
              <w:t>?</w:t>
            </w:r>
            <w:r w:rsidRPr="00B06C92">
              <w:rPr>
                <w:color w:val="auto"/>
                <w:sz w:val="22"/>
                <w:szCs w:val="22"/>
              </w:rPr>
              <w:t>p</w:t>
            </w:r>
            <w:r w:rsidRPr="006069C5">
              <w:rPr>
                <w:color w:val="auto"/>
                <w:sz w:val="22"/>
                <w:szCs w:val="22"/>
                <w:lang w:val="ru-RU"/>
              </w:rPr>
              <w:t>=</w:t>
            </w:r>
            <w:r w:rsidRPr="00B06C92">
              <w:rPr>
                <w:color w:val="auto"/>
                <w:sz w:val="22"/>
                <w:szCs w:val="22"/>
              </w:rPr>
              <w:t>NORMLEXPUB</w:t>
            </w:r>
            <w:r w:rsidRPr="006069C5">
              <w:rPr>
                <w:color w:val="auto"/>
                <w:sz w:val="22"/>
                <w:szCs w:val="22"/>
                <w:lang w:val="ru-RU"/>
              </w:rPr>
              <w:t>:12100:0::</w:t>
            </w:r>
            <w:r w:rsidRPr="00B06C92">
              <w:rPr>
                <w:color w:val="auto"/>
                <w:sz w:val="22"/>
                <w:szCs w:val="22"/>
              </w:rPr>
              <w:t>NO</w:t>
            </w:r>
            <w:r w:rsidRPr="006069C5">
              <w:rPr>
                <w:color w:val="auto"/>
                <w:sz w:val="22"/>
                <w:szCs w:val="22"/>
                <w:lang w:val="ru-RU"/>
              </w:rPr>
              <w:t>::</w:t>
            </w:r>
            <w:r w:rsidRPr="00B06C92">
              <w:rPr>
                <w:color w:val="auto"/>
                <w:sz w:val="22"/>
                <w:szCs w:val="22"/>
              </w:rPr>
              <w:t>P</w:t>
            </w:r>
            <w:r w:rsidRPr="006069C5">
              <w:rPr>
                <w:color w:val="auto"/>
                <w:sz w:val="22"/>
                <w:szCs w:val="22"/>
                <w:lang w:val="ru-RU"/>
              </w:rPr>
              <w:t>12100_</w:t>
            </w:r>
            <w:r w:rsidRPr="00B06C92">
              <w:rPr>
                <w:color w:val="auto"/>
                <w:sz w:val="22"/>
                <w:szCs w:val="22"/>
              </w:rPr>
              <w:t>INSTRUMENT</w:t>
            </w:r>
            <w:r w:rsidRPr="006069C5">
              <w:rPr>
                <w:color w:val="auto"/>
                <w:sz w:val="22"/>
                <w:szCs w:val="22"/>
                <w:lang w:val="ru-RU"/>
              </w:rPr>
              <w:t>_</w:t>
            </w:r>
            <w:r w:rsidRPr="00B06C92">
              <w:rPr>
                <w:color w:val="auto"/>
                <w:sz w:val="22"/>
                <w:szCs w:val="22"/>
              </w:rPr>
              <w:t>ID</w:t>
            </w:r>
            <w:r w:rsidRPr="006069C5">
              <w:rPr>
                <w:color w:val="auto"/>
                <w:sz w:val="22"/>
                <w:szCs w:val="22"/>
                <w:lang w:val="ru-RU"/>
              </w:rPr>
              <w:t xml:space="preserve">, </w:t>
            </w:r>
          </w:p>
          <w:p w14:paraId="127FB56F" w14:textId="70DD0A83" w:rsidR="006F104C" w:rsidRPr="00BD75FC" w:rsidRDefault="006069C5" w:rsidP="006069C5">
            <w:pPr>
              <w:pStyle w:val="Default"/>
              <w:rPr>
                <w:lang w:val="ru-RU"/>
              </w:rPr>
            </w:pPr>
            <w:r w:rsidRPr="00B06C92">
              <w:rPr>
                <w:color w:val="auto"/>
                <w:sz w:val="22"/>
                <w:szCs w:val="22"/>
              </w:rPr>
              <w:t>P12100_LANG_CODE:3065524,en</w:t>
            </w:r>
            <w:bookmarkStart w:id="30" w:name="_GoBack"/>
            <w:bookmarkEnd w:id="30"/>
          </w:p>
        </w:tc>
      </w:tr>
    </w:tbl>
    <w:p w14:paraId="4DA87AD5" w14:textId="77777777" w:rsidR="006F104C" w:rsidRDefault="006F104C" w:rsidP="004962C5">
      <w:pPr>
        <w:pStyle w:val="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afb"/>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afb"/>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afb"/>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afb"/>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afb"/>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afb"/>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afb"/>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afb"/>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afb"/>
        <w:rPr>
          <w:sz w:val="22"/>
          <w:szCs w:val="22"/>
        </w:rPr>
      </w:pPr>
    </w:p>
    <w:p w14:paraId="0D2002B1" w14:textId="77777777" w:rsidR="00D15AD5" w:rsidRPr="00D15AD5" w:rsidRDefault="00D15AD5" w:rsidP="00D15AD5">
      <w:pPr>
        <w:pStyle w:val="afb"/>
        <w:rPr>
          <w:sz w:val="22"/>
          <w:szCs w:val="22"/>
        </w:rPr>
      </w:pPr>
    </w:p>
    <w:p w14:paraId="11D59CC5" w14:textId="21034E1A" w:rsidR="00C141AF" w:rsidRPr="005B293A" w:rsidRDefault="00C141AF" w:rsidP="00470BED">
      <w:pPr>
        <w:pStyle w:val="afb"/>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afb"/>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CF4120" w:rsidRDefault="00CF4120" w:rsidP="006B0512">
      <w:pPr>
        <w:spacing w:after="0" w:line="240" w:lineRule="auto"/>
      </w:pPr>
      <w:r>
        <w:separator/>
      </w:r>
    </w:p>
  </w:endnote>
  <w:endnote w:type="continuationSeparator" w:id="0">
    <w:p w14:paraId="0652DDFD" w14:textId="77777777" w:rsidR="00CF4120" w:rsidRDefault="00CF41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 w:name="Cambria Math">
    <w:panose1 w:val="02040503050406030204"/>
    <w:charset w:val="CC"/>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1A4155CB" w:rsidR="00CF4120" w:rsidRDefault="00CF4120">
        <w:pPr>
          <w:pStyle w:val="af2"/>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CF4120" w:rsidRDefault="00CF4120">
    <w:pPr>
      <w:pStyle w:val="af2"/>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44ABF509" w:rsidR="00CF4120" w:rsidRDefault="00CF4120">
        <w:pPr>
          <w:pStyle w:val="af2"/>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CF4120" w:rsidRDefault="00CF4120">
    <w:pPr>
      <w:pStyle w:val="af2"/>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CF4120" w:rsidRDefault="00CF4120" w:rsidP="006B0512">
      <w:pPr>
        <w:spacing w:after="0" w:line="240" w:lineRule="auto"/>
      </w:pPr>
      <w:r>
        <w:separator/>
      </w:r>
    </w:p>
  </w:footnote>
  <w:footnote w:type="continuationSeparator" w:id="0">
    <w:p w14:paraId="21AE062F" w14:textId="77777777" w:rsidR="00CF4120" w:rsidRDefault="00CF4120" w:rsidP="006B0512">
      <w:pPr>
        <w:spacing w:after="0" w:line="240" w:lineRule="auto"/>
      </w:pPr>
      <w:r>
        <w:continuationSeparator/>
      </w:r>
    </w:p>
  </w:footnote>
  <w:footnote w:id="1">
    <w:p w14:paraId="463C7A6C" w14:textId="3926C0D8" w:rsidR="00CF4120" w:rsidRPr="00B8102F" w:rsidRDefault="00CF4120">
      <w:pPr>
        <w:pStyle w:val="ab"/>
        <w:rPr>
          <w:lang w:val="en-US"/>
        </w:rPr>
      </w:pPr>
      <w:r>
        <w:rPr>
          <w:rStyle w:val="ad"/>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69C5"/>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76C1"/>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D75F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120"/>
    <w:rsid w:val="00CF4869"/>
    <w:rsid w:val="00CF504E"/>
    <w:rsid w:val="00D12D35"/>
    <w:rsid w:val="00D15AD5"/>
    <w:rsid w:val="00D165CA"/>
    <w:rsid w:val="00D17114"/>
    <w:rsid w:val="00D2485A"/>
    <w:rsid w:val="00D31F93"/>
    <w:rsid w:val="00D44269"/>
    <w:rsid w:val="00D50F77"/>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paragraph" w:styleId="1">
    <w:name w:val="heading 1"/>
    <w:basedOn w:val="a"/>
    <w:next w:val="a"/>
    <w:link w:val="10"/>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2">
    <w:name w:val="heading 2"/>
    <w:basedOn w:val="a"/>
    <w:next w:val="a"/>
    <w:link w:val="20"/>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E07CA1"/>
    <w:rPr>
      <w:rFonts w:asciiTheme="majorHAnsi" w:eastAsiaTheme="majorEastAsia" w:hAnsiTheme="majorHAnsi" w:cstheme="majorBidi"/>
      <w:color w:val="2E74B5" w:themeColor="accent1" w:themeShade="BF"/>
      <w:sz w:val="32"/>
      <w:szCs w:val="32"/>
    </w:rPr>
  </w:style>
  <w:style w:type="paragraph" w:styleId="a3">
    <w:name w:val="TOC Heading"/>
    <w:basedOn w:val="1"/>
    <w:next w:val="a"/>
    <w:uiPriority w:val="39"/>
    <w:unhideWhenUsed/>
    <w:qFormat/>
    <w:rsid w:val="00E07CA1"/>
    <w:pPr>
      <w:outlineLvl w:val="9"/>
    </w:pPr>
  </w:style>
  <w:style w:type="paragraph" w:styleId="11">
    <w:name w:val="toc 1"/>
    <w:basedOn w:val="a"/>
    <w:next w:val="a"/>
    <w:autoRedefine/>
    <w:uiPriority w:val="39"/>
    <w:unhideWhenUsed/>
    <w:rsid w:val="00E07CA1"/>
    <w:pPr>
      <w:spacing w:after="100"/>
    </w:pPr>
  </w:style>
  <w:style w:type="character" w:styleId="a4">
    <w:name w:val="Hyperlink"/>
    <w:basedOn w:val="a0"/>
    <w:uiPriority w:val="99"/>
    <w:unhideWhenUsed/>
    <w:rsid w:val="00E07CA1"/>
    <w:rPr>
      <w:color w:val="0563C1" w:themeColor="hyperlink"/>
      <w:u w:val="single"/>
    </w:rPr>
  </w:style>
  <w:style w:type="paragraph" w:styleId="a5">
    <w:name w:val="Title"/>
    <w:basedOn w:val="a"/>
    <w:next w:val="a"/>
    <w:link w:val="a6"/>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a6">
    <w:name w:val="Заголовок Знак"/>
    <w:basedOn w:val="a0"/>
    <w:link w:val="a5"/>
    <w:uiPriority w:val="10"/>
    <w:rsid w:val="000C6D3A"/>
    <w:rPr>
      <w:rFonts w:asciiTheme="majorHAnsi" w:eastAsiaTheme="majorEastAsia" w:hAnsiTheme="majorHAnsi" w:cstheme="majorBidi"/>
      <w:spacing w:val="-10"/>
      <w:kern w:val="28"/>
      <w:sz w:val="56"/>
      <w:szCs w:val="56"/>
    </w:rPr>
  </w:style>
  <w:style w:type="paragraph" w:styleId="a7">
    <w:name w:val="Subtitle"/>
    <w:basedOn w:val="a"/>
    <w:next w:val="a"/>
    <w:link w:val="a8"/>
    <w:uiPriority w:val="11"/>
    <w:qFormat/>
    <w:rsid w:val="000C6D3A"/>
    <w:pPr>
      <w:numPr>
        <w:ilvl w:val="1"/>
      </w:numPr>
    </w:pPr>
    <w:rPr>
      <w:rFonts w:eastAsiaTheme="minorEastAsia"/>
      <w:color w:val="5A5A5A" w:themeColor="text1" w:themeTint="A5"/>
      <w:spacing w:val="15"/>
    </w:rPr>
  </w:style>
  <w:style w:type="character" w:customStyle="1" w:styleId="a8">
    <w:name w:val="Подзаголовок Знак"/>
    <w:basedOn w:val="a0"/>
    <w:link w:val="a7"/>
    <w:uiPriority w:val="11"/>
    <w:rsid w:val="000C6D3A"/>
    <w:rPr>
      <w:rFonts w:eastAsiaTheme="minorEastAsia"/>
      <w:color w:val="5A5A5A" w:themeColor="text1" w:themeTint="A5"/>
      <w:spacing w:val="15"/>
    </w:rPr>
  </w:style>
  <w:style w:type="paragraph" w:customStyle="1" w:styleId="MGTHeader">
    <w:name w:val="M.G+T.Header"/>
    <w:basedOn w:val="a"/>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a0"/>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a"/>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a0"/>
    <w:link w:val="MIndHeader"/>
    <w:rsid w:val="00463306"/>
    <w:rPr>
      <w:rFonts w:eastAsia="Times New Roman" w:cs="Times New Roman"/>
      <w:color w:val="1C75BC"/>
      <w:shd w:val="clear" w:color="auto" w:fill="F5F5F5"/>
      <w:lang w:val="en-GB" w:eastAsia="en-GB"/>
    </w:rPr>
  </w:style>
  <w:style w:type="paragraph" w:styleId="a9">
    <w:name w:val="header"/>
    <w:basedOn w:val="a"/>
    <w:link w:val="aa"/>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aa">
    <w:name w:val="Верхний колонтитул Знак"/>
    <w:basedOn w:val="a0"/>
    <w:link w:val="a9"/>
    <w:uiPriority w:val="99"/>
    <w:rsid w:val="00F93763"/>
    <w:rPr>
      <w:rFonts w:eastAsiaTheme="minorEastAsia"/>
      <w:lang w:val="en-GB" w:eastAsia="zh-CN"/>
    </w:rPr>
  </w:style>
  <w:style w:type="paragraph" w:customStyle="1" w:styleId="MText">
    <w:name w:val="M.Text"/>
    <w:basedOn w:val="a"/>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a0"/>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a1"/>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a"/>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a0"/>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a"/>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a0"/>
    <w:link w:val="MSubHeader"/>
    <w:rsid w:val="001127E6"/>
    <w:rPr>
      <w:rFonts w:eastAsia="Times New Roman" w:cs="Times New Roman"/>
      <w:b/>
      <w:bCs/>
      <w:color w:val="4A4A4A"/>
      <w:sz w:val="21"/>
      <w:szCs w:val="21"/>
      <w:shd w:val="clear" w:color="auto" w:fill="FFFFFF"/>
      <w:lang w:val="en-GB" w:eastAsia="en-GB"/>
    </w:rPr>
  </w:style>
  <w:style w:type="paragraph" w:styleId="ab">
    <w:name w:val="footnote text"/>
    <w:basedOn w:val="a"/>
    <w:link w:val="ac"/>
    <w:uiPriority w:val="99"/>
    <w:semiHidden/>
    <w:unhideWhenUsed/>
    <w:rsid w:val="006B0512"/>
    <w:pPr>
      <w:spacing w:after="0" w:line="240" w:lineRule="auto"/>
    </w:pPr>
    <w:rPr>
      <w:rFonts w:eastAsiaTheme="minorEastAsia"/>
      <w:sz w:val="20"/>
      <w:szCs w:val="20"/>
      <w:lang w:val="en-GB" w:eastAsia="zh-CN"/>
    </w:rPr>
  </w:style>
  <w:style w:type="character" w:customStyle="1" w:styleId="ac">
    <w:name w:val="Текст сноски Знак"/>
    <w:basedOn w:val="a0"/>
    <w:link w:val="ab"/>
    <w:uiPriority w:val="99"/>
    <w:semiHidden/>
    <w:rsid w:val="006B0512"/>
    <w:rPr>
      <w:rFonts w:eastAsiaTheme="minorEastAsia"/>
      <w:sz w:val="20"/>
      <w:szCs w:val="20"/>
      <w:lang w:val="en-GB" w:eastAsia="zh-CN"/>
    </w:rPr>
  </w:style>
  <w:style w:type="character" w:styleId="ad">
    <w:name w:val="footnote reference"/>
    <w:aliases w:val="(Footnote Reference),ftref,de nota al pie,(NECG) Footnote Reference,16 Point,Superscript 6 Point,Ref,fr,stylish,BVI fnr,Footnote Reference Number,Footnote Reference_LVL6,Footnote Reference_LVL61,Footnote Reference_LVL62,number,SUPERS"/>
    <w:basedOn w:val="a0"/>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a"/>
    <w:link w:val="ad"/>
    <w:uiPriority w:val="99"/>
    <w:rsid w:val="006B0512"/>
    <w:pPr>
      <w:spacing w:line="240" w:lineRule="exact"/>
      <w:jc w:val="both"/>
    </w:pPr>
    <w:rPr>
      <w:vertAlign w:val="superscript"/>
    </w:rPr>
  </w:style>
  <w:style w:type="table" w:styleId="ae">
    <w:name w:val="Table Grid"/>
    <w:basedOn w:val="a1"/>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
    <w:name w:val="List Paragraph"/>
    <w:basedOn w:val="a"/>
    <w:uiPriority w:val="34"/>
    <w:qFormat/>
    <w:rsid w:val="00EA6E73"/>
    <w:pPr>
      <w:spacing w:after="200" w:line="276" w:lineRule="auto"/>
      <w:ind w:left="720"/>
      <w:contextualSpacing/>
    </w:pPr>
    <w:rPr>
      <w:rFonts w:eastAsiaTheme="minorEastAsia"/>
      <w:lang w:val="en-GB" w:eastAsia="zh-CN"/>
    </w:rPr>
  </w:style>
  <w:style w:type="paragraph" w:styleId="21">
    <w:name w:val="toc 2"/>
    <w:basedOn w:val="a"/>
    <w:next w:val="a"/>
    <w:autoRedefine/>
    <w:uiPriority w:val="39"/>
    <w:unhideWhenUsed/>
    <w:rsid w:val="000434EA"/>
    <w:pPr>
      <w:spacing w:after="100"/>
      <w:ind w:left="220"/>
    </w:pPr>
  </w:style>
  <w:style w:type="paragraph" w:styleId="3">
    <w:name w:val="toc 3"/>
    <w:basedOn w:val="a"/>
    <w:next w:val="a"/>
    <w:autoRedefine/>
    <w:uiPriority w:val="39"/>
    <w:unhideWhenUsed/>
    <w:rsid w:val="000434EA"/>
    <w:pPr>
      <w:spacing w:after="100"/>
      <w:ind w:left="440"/>
    </w:pPr>
  </w:style>
  <w:style w:type="paragraph" w:styleId="af0">
    <w:name w:val="Balloon Text"/>
    <w:basedOn w:val="a"/>
    <w:link w:val="af1"/>
    <w:uiPriority w:val="99"/>
    <w:semiHidden/>
    <w:unhideWhenUsed/>
    <w:rsid w:val="000434EA"/>
    <w:pPr>
      <w:spacing w:after="0" w:line="240" w:lineRule="auto"/>
    </w:pPr>
    <w:rPr>
      <w:rFonts w:ascii="Segoe UI" w:hAnsi="Segoe UI" w:cs="Segoe UI"/>
      <w:sz w:val="18"/>
      <w:szCs w:val="18"/>
    </w:rPr>
  </w:style>
  <w:style w:type="character" w:customStyle="1" w:styleId="af1">
    <w:name w:val="Текст выноски Знак"/>
    <w:basedOn w:val="a0"/>
    <w:link w:val="af0"/>
    <w:uiPriority w:val="99"/>
    <w:semiHidden/>
    <w:rsid w:val="000434EA"/>
    <w:rPr>
      <w:rFonts w:ascii="Segoe UI" w:hAnsi="Segoe UI" w:cs="Segoe UI"/>
      <w:sz w:val="18"/>
      <w:szCs w:val="18"/>
    </w:rPr>
  </w:style>
  <w:style w:type="paragraph" w:styleId="af2">
    <w:name w:val="footer"/>
    <w:basedOn w:val="a"/>
    <w:link w:val="af3"/>
    <w:uiPriority w:val="99"/>
    <w:unhideWhenUsed/>
    <w:rsid w:val="00073907"/>
    <w:pPr>
      <w:tabs>
        <w:tab w:val="center" w:pos="4680"/>
        <w:tab w:val="right" w:pos="9360"/>
      </w:tabs>
      <w:spacing w:after="0" w:line="240" w:lineRule="auto"/>
    </w:pPr>
  </w:style>
  <w:style w:type="character" w:customStyle="1" w:styleId="af3">
    <w:name w:val="Нижний колонтитул Знак"/>
    <w:basedOn w:val="a0"/>
    <w:link w:val="af2"/>
    <w:uiPriority w:val="99"/>
    <w:rsid w:val="00073907"/>
  </w:style>
  <w:style w:type="character" w:customStyle="1" w:styleId="UnresolvedMention1">
    <w:name w:val="Unresolved Mention1"/>
    <w:basedOn w:val="a0"/>
    <w:uiPriority w:val="99"/>
    <w:semiHidden/>
    <w:unhideWhenUsed/>
    <w:rsid w:val="00C605D4"/>
    <w:rPr>
      <w:color w:val="605E5C"/>
      <w:shd w:val="clear" w:color="auto" w:fill="E1DFDD"/>
    </w:rPr>
  </w:style>
  <w:style w:type="character" w:styleId="af4">
    <w:name w:val="annotation reference"/>
    <w:basedOn w:val="a0"/>
    <w:uiPriority w:val="99"/>
    <w:semiHidden/>
    <w:unhideWhenUsed/>
    <w:rsid w:val="007A2617"/>
    <w:rPr>
      <w:sz w:val="16"/>
      <w:szCs w:val="16"/>
    </w:rPr>
  </w:style>
  <w:style w:type="paragraph" w:styleId="af5">
    <w:name w:val="annotation text"/>
    <w:basedOn w:val="a"/>
    <w:link w:val="af6"/>
    <w:uiPriority w:val="99"/>
    <w:semiHidden/>
    <w:unhideWhenUsed/>
    <w:rsid w:val="007A2617"/>
    <w:pPr>
      <w:spacing w:line="240" w:lineRule="auto"/>
    </w:pPr>
    <w:rPr>
      <w:sz w:val="20"/>
      <w:szCs w:val="20"/>
    </w:rPr>
  </w:style>
  <w:style w:type="character" w:customStyle="1" w:styleId="af6">
    <w:name w:val="Текст примечания Знак"/>
    <w:basedOn w:val="a0"/>
    <w:link w:val="af5"/>
    <w:uiPriority w:val="99"/>
    <w:semiHidden/>
    <w:rsid w:val="007A2617"/>
    <w:rPr>
      <w:sz w:val="20"/>
      <w:szCs w:val="20"/>
    </w:rPr>
  </w:style>
  <w:style w:type="paragraph" w:styleId="af7">
    <w:name w:val="annotation subject"/>
    <w:basedOn w:val="af5"/>
    <w:next w:val="af5"/>
    <w:link w:val="af8"/>
    <w:uiPriority w:val="99"/>
    <w:semiHidden/>
    <w:unhideWhenUsed/>
    <w:rsid w:val="007A2617"/>
    <w:rPr>
      <w:b/>
      <w:bCs/>
    </w:rPr>
  </w:style>
  <w:style w:type="character" w:customStyle="1" w:styleId="af8">
    <w:name w:val="Тема примечания Знак"/>
    <w:basedOn w:val="af6"/>
    <w:link w:val="af7"/>
    <w:uiPriority w:val="99"/>
    <w:semiHidden/>
    <w:rsid w:val="007A2617"/>
    <w:rPr>
      <w:b/>
      <w:bCs/>
      <w:sz w:val="20"/>
      <w:szCs w:val="20"/>
    </w:rPr>
  </w:style>
  <w:style w:type="character" w:styleId="af9">
    <w:name w:val="FollowedHyperlink"/>
    <w:basedOn w:val="a0"/>
    <w:uiPriority w:val="99"/>
    <w:semiHidden/>
    <w:unhideWhenUsed/>
    <w:rsid w:val="00581D14"/>
    <w:rPr>
      <w:color w:val="954F72" w:themeColor="followedHyperlink"/>
      <w:u w:val="single"/>
    </w:rPr>
  </w:style>
  <w:style w:type="character" w:styleId="afa">
    <w:name w:val="Placeholder Text"/>
    <w:basedOn w:val="a0"/>
    <w:uiPriority w:val="99"/>
    <w:semiHidden/>
    <w:rsid w:val="00633477"/>
    <w:rPr>
      <w:color w:val="808080"/>
    </w:rPr>
  </w:style>
  <w:style w:type="paragraph" w:styleId="afb">
    <w:name w:val="endnote text"/>
    <w:basedOn w:val="a"/>
    <w:link w:val="afc"/>
    <w:uiPriority w:val="99"/>
    <w:unhideWhenUsed/>
    <w:rsid w:val="00AE7A74"/>
    <w:pPr>
      <w:spacing w:after="0" w:line="240" w:lineRule="auto"/>
    </w:pPr>
    <w:rPr>
      <w:sz w:val="20"/>
      <w:szCs w:val="20"/>
    </w:rPr>
  </w:style>
  <w:style w:type="character" w:customStyle="1" w:styleId="afc">
    <w:name w:val="Текст концевой сноски Знак"/>
    <w:basedOn w:val="a0"/>
    <w:link w:val="afb"/>
    <w:uiPriority w:val="99"/>
    <w:rsid w:val="00AE7A74"/>
    <w:rPr>
      <w:sz w:val="20"/>
      <w:szCs w:val="20"/>
    </w:rPr>
  </w:style>
  <w:style w:type="character" w:styleId="afd">
    <w:name w:val="endnote reference"/>
    <w:basedOn w:val="a0"/>
    <w:uiPriority w:val="99"/>
    <w:semiHidden/>
    <w:unhideWhenUsed/>
    <w:rsid w:val="00AE7A74"/>
    <w:rPr>
      <w:vertAlign w:val="superscript"/>
    </w:rPr>
  </w:style>
  <w:style w:type="character" w:customStyle="1" w:styleId="20">
    <w:name w:val="Заголовок 2 Знак"/>
    <w:basedOn w:val="a0"/>
    <w:link w:val="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afe">
    <w:name w:val="Unresolved Mention"/>
    <w:basedOn w:val="a0"/>
    <w:uiPriority w:val="99"/>
    <w:semiHidden/>
    <w:unhideWhenUsed/>
    <w:rsid w:val="009165F2"/>
    <w:rPr>
      <w:color w:val="605E5C"/>
      <w:shd w:val="clear" w:color="auto" w:fill="E1DFDD"/>
    </w:rPr>
  </w:style>
  <w:style w:type="paragraph" w:customStyle="1" w:styleId="xl101">
    <w:name w:val="xl101"/>
    <w:basedOn w:val="a"/>
    <w:rsid w:val="006069C5"/>
    <w:pPr>
      <w:pBdr>
        <w:top w:val="single" w:sz="4" w:space="0" w:color="auto"/>
        <w:bottom w:val="single" w:sz="4" w:space="0" w:color="auto"/>
        <w:right w:val="single" w:sz="4" w:space="0" w:color="auto"/>
      </w:pBdr>
      <w:shd w:val="clear" w:color="000000" w:fill="F2F2F2"/>
      <w:spacing w:before="100" w:beforeAutospacing="1" w:after="100" w:afterAutospacing="1" w:line="240" w:lineRule="auto"/>
      <w:jc w:val="center"/>
      <w:textAlignment w:val="top"/>
    </w:pPr>
    <w:rPr>
      <w:rFonts w:ascii="Times New Roman" w:eastAsia="Times New Roman" w:hAnsi="Times New Roman" w:cs="Times New Roman"/>
      <w:sz w:val="18"/>
      <w:szCs w:val="18"/>
      <w:lang w:val="ru-RU" w:eastAsia="ru-RU"/>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a3"/>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a3"/>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a3"/>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a3"/>
            </w:rPr>
            <w:t>Choose an item</w:t>
          </w:r>
          <w:r>
            <w:rPr>
              <w:rStyle w:val="a3"/>
            </w:rPr>
            <w:t xml:space="preserve"> or type a code</w:t>
          </w:r>
          <w:r w:rsidRPr="004341A4">
            <w:rPr>
              <w:rStyle w:val="a3"/>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a3"/>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 w:name="Cambria Math">
    <w:panose1 w:val="02040503050406030204"/>
    <w:charset w:val="CC"/>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A78C9"/>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dcmitype/"/>
    <ds:schemaRef ds:uri="http://schemas.microsoft.com/office/infopath/2007/PartnerControls"/>
    <ds:schemaRef ds:uri="http://schemas.microsoft.com/office/2006/documentManagement/types"/>
    <ds:schemaRef ds:uri="http://schemas.openxmlformats.org/package/2006/metadata/core-properties"/>
    <ds:schemaRef ds:uri="efb7f1d3-2f00-4f20-b7f7-b4cd1648c34e"/>
    <ds:schemaRef ds:uri="331bc5fa-37a0-4eaf-92e6-e8f500860589"/>
    <ds:schemaRef ds:uri="http://schemas.microsoft.com/office/2006/metadata/properties"/>
    <ds:schemaRef ds:uri="http://www.w3.org/XML/1998/namespace"/>
    <ds:schemaRef ds:uri="http://purl.org/dc/terms/"/>
    <ds:schemaRef ds:uri="http://purl.org/dc/elements/1.1/"/>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22F99EAD-7AA5-4EA0-9D5B-8FCA68D24F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13</Pages>
  <Words>216208</Words>
  <Characters>1232390</Characters>
  <Application>Microsoft Office Word</Application>
  <DocSecurity>8</DocSecurity>
  <Lines>10269</Lines>
  <Paragraphs>2891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1445707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Furkat</cp:lastModifiedBy>
  <cp:revision>3</cp:revision>
  <cp:lastPrinted>2020-04-16T14:23:00Z</cp:lastPrinted>
  <dcterms:created xsi:type="dcterms:W3CDTF">2021-10-23T12:56:00Z</dcterms:created>
  <dcterms:modified xsi:type="dcterms:W3CDTF">2021-10-27T13:03:00Z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