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基于程序分析的代码智能体</w:t>
        <w:br/>
        <w:t>安全性测试 Harness 构建方法</w:t>
      </w:r>
    </w:p>
    <w:p>
      <w:r>
        <w:t>中期报告工作稿　2026年10月22日　依据已完成的冻结评测更新</w:t>
      </w:r>
    </w:p>
    <w:p>
      <w:pPr>
        <w:pStyle w:val="Heading1"/>
      </w:pPr>
      <w:r>
        <w:t>一、研究目标与范围调整</w:t>
      </w:r>
    </w:p>
    <w:p>
      <w:r>
        <w:t>本项目研究：在相同模型、工具和调用上限下，静态分析提供的告警位置及函数上下文，能否帮助模型生成更有效的Python安全测试。中期聚焦路径穿越、命令注入和SQL注入，以真实违规证据及缺陷版/修复版配对结果评估测试效果。</w:t>
      </w:r>
    </w:p>
    <w:p>
      <w:r>
        <w:t>目前进度落后于开题安排。保留立项题目，先完成单文件、统一入口的局部分析闭环。CFG与完整数据流、符号执行、自动修复、跨语言、完整智能体项目和200份样本尚未完成；本次范围调整仍需与导师确认。本文不预设提升比例，也不使用“首次提出”等未经论证的表述。</w:t>
      </w:r>
    </w:p>
    <w:p>
      <w:pPr>
        <w:pStyle w:val="Heading1"/>
      </w:pPr>
      <w:r>
        <w:t>二、实际完成的工作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208"/>
      </w:tblGrid>
      <w:tr>
        <w:tc>
          <w:tcPr>
            <w:tcW w:type="dxa" w:w="4968"/>
            <w:shd w:fill="E9E9E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工作</w:t>
            </w:r>
          </w:p>
        </w:tc>
        <w:tc>
          <w:tcPr>
            <w:tcW w:type="dxa" w:w="4968"/>
            <w:shd w:fill="E9E9E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完成证据与边界</w:t>
            </w:r>
          </w:p>
        </w:tc>
      </w:tr>
      <w:tr>
        <w:tc>
          <w:tcPr>
            <w:tcW w:type="dxa" w:w="158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原型</w:t>
            </w:r>
          </w:p>
        </w:tc>
        <w:tc>
          <w:tcPr>
            <w:tcW w:type="dxa" w:w="820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Bandit/AST分析、受限测试生成、rootless容器执行、可信probe、JSON/CSV、CLI及MCP。</w:t>
            </w:r>
          </w:p>
        </w:tc>
      </w:tr>
      <w:tr>
        <w:tc>
          <w:tcPr>
            <w:tcW w:type="dxa" w:w="158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工程验证</w:t>
            </w:r>
          </w:p>
        </w:tc>
        <w:tc>
          <w:tcPr>
            <w:tcW w:type="dxa" w:w="820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30对人工构造样本参考测试均配对成立；23项单元/协议测试和6项容器测试通过。</w:t>
            </w:r>
          </w:p>
        </w:tc>
      </w:tr>
      <w:tr>
        <w:tc>
          <w:tcPr>
            <w:tcW w:type="dxa" w:w="158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模型实验</w:t>
            </w:r>
          </w:p>
        </w:tc>
        <w:tc>
          <w:tcPr>
            <w:tcW w:type="dxa" w:w="820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两轮开发试验与216次冻结试验已完成。主要比较保留69个A/B/C匹配块。</w:t>
            </w:r>
          </w:p>
        </w:tc>
      </w:tr>
      <w:tr>
        <w:tc>
          <w:tcPr>
            <w:tcW w:type="dxa" w:w="158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真实生成数据</w:t>
            </w:r>
          </w:p>
        </w:tc>
        <w:tc>
          <w:tcPr>
            <w:tcW w:type="dxa" w:w="820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12个不同正常需求的模型输出全部保留，语法有效；动态执行、功能验收及双人标签仍待完成。</w:t>
            </w:r>
          </w:p>
        </w:tc>
      </w:tr>
      <w:tr>
        <w:tc>
          <w:tcPr>
            <w:tcW w:type="dxa" w:w="158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框架接入</w:t>
            </w:r>
          </w:p>
        </w:tc>
        <w:tc>
          <w:tcPr>
            <w:tcW w:type="dxa" w:w="820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DeepSeek Harness固定版本SDK和MCP启动验证通过；带模型的完整工具回合尚未验证。</w:t>
            </w:r>
          </w:p>
        </w:tc>
      </w:tr>
      <w:tr>
        <w:tc>
          <w:tcPr>
            <w:tcW w:type="dxa" w:w="158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执行地点</w:t>
            </w:r>
          </w:p>
        </w:tc>
        <w:tc>
          <w:tcPr>
            <w:tcW w:type="dxa" w:w="820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服务器曾复现三个代表案例；此次正式批量实验使用本机rootless Podman。</w:t>
            </w:r>
          </w:p>
        </w:tc>
      </w:tr>
    </w:tbl>
    <w:p>
      <w:r>
        <w:t>已有20秒录像是人工参考测试的真实记录回放，用于展示证据链路。AI辅助代码与材料初稿，成员负责理解、核验和最终验收；本文不代替两人独立复核或真人计时记录。</w:t>
      </w:r>
    </w:p>
    <w:p>
      <w:r>
        <w:br w:type="page"/>
      </w:r>
    </w:p>
    <w:p>
      <w:pPr>
        <w:pStyle w:val="Heading1"/>
      </w:pPr>
      <w:r>
        <w:t>三、方法与对照实验</w:t>
      </w:r>
    </w:p>
    <w:p>
      <w:r>
        <w:t>流程为Python代码、Bandit与AST分析、风险上下文、模型生成测试、隔离执行、证据汇总。Bandit提供已有规则告警；AST整理敏感调用所在函数、签名和导入。模型产出受限pytest测试输入，并可使用Hypothesis策略。目标入口、临时资源和安全断言由统一可信probe管理。当前未实现任意项目夹具自动生成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7920"/>
      </w:tblGrid>
      <w:tr>
        <w:tc>
          <w:tcPr>
            <w:tcW w:type="dxa" w:w="4968"/>
            <w:shd w:fill="E9E9E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组别</w:t>
            </w:r>
          </w:p>
        </w:tc>
        <w:tc>
          <w:tcPr>
            <w:tcW w:type="dxa" w:w="4968"/>
            <w:shd w:fill="E9E9E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模型可见信息</w:t>
            </w:r>
          </w:p>
        </w:tc>
      </w:tr>
      <w:tr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A 直接生成</w:t>
            </w:r>
          </w:p>
        </w:tc>
        <w:tc>
          <w:tcPr>
            <w:tcW w:type="dxa" w:w="792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正常需求、完整单文件源码、统一测试规范</w:t>
            </w:r>
          </w:p>
        </w:tc>
      </w:tr>
      <w:tr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B 告警引导</w:t>
            </w:r>
          </w:p>
        </w:tc>
        <w:tc>
          <w:tcPr>
            <w:tcW w:type="dxa" w:w="792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A组信息，加Bandit告警</w:t>
            </w:r>
          </w:p>
        </w:tc>
      </w:tr>
      <w:tr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C 上下文引导</w:t>
            </w:r>
          </w:p>
        </w:tc>
        <w:tc>
          <w:tcPr>
            <w:tcW w:type="dxa" w:w="792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B组信息，加AST定位的风险函数和依赖</w:t>
            </w:r>
          </w:p>
        </w:tc>
      </w:tr>
    </w:tbl>
    <w:p>
      <w:r>
        <w:t>30组人工缺陷/修复配对样本中，6组用于开发、24组冻结评测，每类8组。每个样本每组重复3次，共216个trial、72个匹配块。样本是模板变体，不能称为30个独立真实项目；重复次数不增加独立样本量。修复版、标签和参考触发输入不进入生成提示，模型只根据缺陷版执行反馈修改测试。</w:t>
      </w:r>
    </w:p>
    <w:p>
      <w:r>
        <w:t>模型标识deepseek-flash，非思考模式，temperature=0，最大输出1800 Token。每次最多生成一次并修订两次，可提前成功停止。组序按冻结调度变化。三组的调用上限相同，输入Token和实际成本并不相同。提示、代码、数据和镜像均记录哈希，正式运行中未调整。上游模型别名不能等同于可见且永久不变的权重版本。</w:t>
      </w:r>
    </w:p>
    <w:p>
      <w:r>
        <w:t>路径穿越须读到临时目录外的随机哨兵，命令注入须创建无害标记，SQL注入须返回内存数据库中的PRIVATE行。同一最终测试在缺陷版违规且修复版通过，才计配对复现。普通异常、语法/导入错误、Mock及任意assert失败不能直接算漏洞。静态告警单独统计。</w:t>
      </w:r>
    </w:p>
    <w:p>
      <w:r>
        <w:t>执行使用无网络、非特权、只读根文件系统的rootless Podman容器，删除全部capability，限制CPU=1、内存256MiB、PID=64及超时。只挂载当前目标与测试，不传入密钥。隔离核验失败即停止。探针与目标同进程运行，尚不适合宣称能够抵抗恶意目标对判定器的篡改。</w:t>
      </w:r>
    </w:p>
    <w:p>
      <w:r>
        <w:t>DeepSeek Harness固定commit 687f282e8625c6b8d11ff58211a90524be2e4317，SDK 0.2.1rc2。正式实验使用直接API，以约束工具与重试预算；Harness是可替换编排层，不作为算法创新点。</w:t>
      </w:r>
    </w:p>
    <w:p>
      <w:r>
        <w:br w:type="page"/>
      </w:r>
    </w:p>
    <w:p>
      <w:pPr>
        <w:pStyle w:val="Heading1"/>
      </w:pPr>
      <w:r>
        <w:t>四、冻结评测结果</w:t>
      </w:r>
    </w:p>
    <w:p>
      <w:r>
        <w:t>完成216/216次试验，原始响应、测试、执行目标/镜像哈希、配对结论及反馈链核验通过。出现7次网络失败请求，无法确认服务端是否处理，全部保守计入调用次数并保留预算预留。超过3次上限的试验所在整个A/B/C块退出主要比较，共排除3块，保留69块、207次试验。此处理规则在首次失败后、续跑前记录，并非原始预注册规则，因此同时披露全量结果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36"/>
        <w:gridCol w:w="2304"/>
        <w:gridCol w:w="2304"/>
        <w:gridCol w:w="2304"/>
      </w:tblGrid>
      <w:tr>
        <w:tc>
          <w:tcPr>
            <w:tcW w:type="dxa" w:w="2484"/>
            <w:shd w:fill="E9E9E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2484"/>
            <w:shd w:fill="E9E9E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A 直接</w:t>
            </w:r>
          </w:p>
        </w:tc>
        <w:tc>
          <w:tcPr>
            <w:tcW w:type="dxa" w:w="2484"/>
            <w:shd w:fill="E9E9E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B 告警</w:t>
            </w:r>
          </w:p>
        </w:tc>
        <w:tc>
          <w:tcPr>
            <w:tcW w:type="dxa" w:w="2484"/>
            <w:shd w:fill="E9E9E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C 上下文</w:t>
            </w:r>
          </w:p>
        </w:tc>
      </w:tr>
      <w:tr>
        <w:tc>
          <w:tcPr>
            <w:tcW w:type="dxa" w:w="27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主要配对复现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61/69 (88.4%)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62/69 (89.9%)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67/69 (97.1%)</w:t>
            </w:r>
          </w:p>
        </w:tc>
      </w:tr>
      <w:tr>
        <w:tc>
          <w:tcPr>
            <w:tcW w:type="dxa" w:w="27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全量配对复现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62/72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63/72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68/72</w:t>
            </w:r>
          </w:p>
        </w:tc>
      </w:tr>
      <w:tr>
        <w:tc>
          <w:tcPr>
            <w:tcW w:type="dxa" w:w="27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主要可运行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68/69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69/69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69/69</w:t>
            </w:r>
          </w:p>
        </w:tc>
      </w:tr>
      <w:tr>
        <w:tc>
          <w:tcPr>
            <w:tcW w:type="dxa" w:w="27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首次缺陷违规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45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44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53</w:t>
            </w:r>
          </w:p>
        </w:tc>
      </w:tr>
      <w:tr>
        <w:tc>
          <w:tcPr>
            <w:tcW w:type="dxa" w:w="27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修复版误报/有效判定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0/69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0/69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0/69</w:t>
            </w:r>
          </w:p>
        </w:tc>
      </w:tr>
      <w:tr>
        <w:tc>
          <w:tcPr>
            <w:tcW w:type="dxa" w:w="27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修复版未判定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27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成功保存API响应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102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101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88</w:t>
            </w:r>
          </w:p>
        </w:tc>
      </w:tr>
      <w:tr>
        <w:tc>
          <w:tcPr>
            <w:tcW w:type="dxa" w:w="27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输入/输出Token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74463/19412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83365/21274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80099/18465</w:t>
            </w:r>
          </w:p>
        </w:tc>
      </w:tr>
      <w:tr>
        <w:tc>
          <w:tcPr>
            <w:tcW w:type="dxa" w:w="27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分支覆盖均值/分母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76.9% / 13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76.9% / 13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76.9% / 13</w:t>
            </w:r>
          </w:p>
        </w:tc>
      </w:tr>
      <w:tr>
        <w:tc>
          <w:tcPr>
            <w:tcW w:type="dxa" w:w="27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执行耗时合计(秒)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288.2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293.6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270.8</w:t>
            </w:r>
          </w:p>
        </w:tc>
      </w:tr>
      <w:tr>
        <w:tc>
          <w:tcPr>
            <w:tcW w:type="dxa" w:w="27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模型耗时合计(秒)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132.7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139.9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119.9</w:t>
            </w:r>
          </w:p>
        </w:tc>
      </w:tr>
    </w:tbl>
    <w:p>
      <w:r>
        <w:t>C相对A的主要复现率差为8.7个百分点。这是当前模型、短程序模板与统一探针条件下的描述性结果，不能推断为普遍提升或统计显著。分支覆盖仅纳入存在分支且有有效覆盖记录的目标，公开分母；执行耗时与模型耗时分列，不含人工恢复等待。</w:t>
      </w:r>
    </w:p>
    <w:p>
      <w:r>
        <w:t>整个正式批次保存315个响应，输入265118、输出63862 Token。按高峰未缓存输入2元/百万、输出8元/百万估算上界约1.0411元，失败请求未知费用未包含在响应成本中，保守预留仍留在共享100元账本内。平台缓存、时段折扣及实际账单可能不同。</w:t>
      </w:r>
    </w:p>
    <w:p>
      <w:r>
        <w:br w:type="page"/>
      </w:r>
    </w:p>
    <w:p>
      <w:pPr>
        <w:pStyle w:val="Heading1"/>
      </w:pPr>
      <w:r>
        <w:t>五、案例、失败与有效性限制</w:t>
      </w:r>
    </w:p>
    <w:p>
      <w:r>
        <w:t>成功案例：path-01人工参考测试输入../secret.txt，缺陷版直接拼接路径并读出公共目录外哨兵，修复版规范化路径并检查边界后拒绝访问。20秒配套录像展示该真实记录；人工参考成功率30/30只证明工程验证链路，不能作为模型实验效果。</w:t>
      </w:r>
    </w:p>
    <w:p>
      <w:r>
        <w:t>真实失败案例：path-10在repeat=0的A/B/C三组均未复现。目标只拒绝以../开头的输入，参考输入./../secret.txt仍可越界。生成测试尝试常见../、绝对路径及编码形式，却没有构造该有效绕过。记录为pass/pass不表示目标安全，而是该轮未找到违规。正式期间没有把参考输入补进提示，也未据此修改冻结样本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36"/>
        <w:gridCol w:w="2304"/>
        <w:gridCol w:w="2304"/>
        <w:gridCol w:w="2304"/>
      </w:tblGrid>
      <w:tr>
        <w:tc>
          <w:tcPr>
            <w:tcW w:type="dxa" w:w="2484"/>
            <w:shd w:fill="E9E9E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漏洞类别</w:t>
            </w:r>
          </w:p>
        </w:tc>
        <w:tc>
          <w:tcPr>
            <w:tcW w:type="dxa" w:w="2484"/>
            <w:shd w:fill="E9E9E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A配对复现</w:t>
            </w:r>
          </w:p>
        </w:tc>
        <w:tc>
          <w:tcPr>
            <w:tcW w:type="dxa" w:w="2484"/>
            <w:shd w:fill="E9E9E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B配对复现</w:t>
            </w:r>
          </w:p>
        </w:tc>
        <w:tc>
          <w:tcPr>
            <w:tcW w:type="dxa" w:w="2484"/>
            <w:shd w:fill="E9E9E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C配对复现</w:t>
            </w:r>
          </w:p>
        </w:tc>
      </w:tr>
      <w:tr>
        <w:tc>
          <w:tcPr>
            <w:tcW w:type="dxa" w:w="27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路径穿越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18/22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17/22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20/22</w:t>
            </w:r>
          </w:p>
        </w:tc>
      </w:tr>
      <w:tr>
        <w:tc>
          <w:tcPr>
            <w:tcW w:type="dxa" w:w="27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命令注入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21/24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22/24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24/24</w:t>
            </w:r>
          </w:p>
        </w:tc>
      </w:tr>
      <w:tr>
        <w:tc>
          <w:tcPr>
            <w:tcW w:type="dxa" w:w="27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SQL注入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22/23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23/23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23/23</w:t>
            </w:r>
          </w:p>
        </w:tc>
      </w:tr>
    </w:tbl>
    <w:p>
      <w:r>
        <w:t>主要限制包括：样本模板相似、单模型、统一函数入口、完整源码已提供给所有组、有限probe语法与同进程判定器。因此C组检验的是上下文显式组织的增益，尚不能证明大型项目依赖提取能力。安全性质通过也可能源于拒绝所有输入，必须另做正常功能验收。12份模型输出尚未动态验证和双人标注，不参与本轮人工配对结论。</w:t>
      </w:r>
    </w:p>
    <w:p>
      <w:pPr>
        <w:pStyle w:val="Heading1"/>
      </w:pPr>
      <w:r>
        <w:t>六、中期验收缺口与分工</w:t>
      </w:r>
    </w:p>
    <w:p>
      <w:r>
        <w:t>目前具备研究问题、可运行原型、三类可复现案例和一轮完整对照实验。提交前还需两人独立复核12份真实模型输出及正常功能，团队逐人重跑并解释案例，两轮计时演练，按学院模板填写身份字段并由导师确认范围调整。当前没有真人演练或双人标签完成证据。</w:t>
      </w:r>
    </w:p>
    <w:p>
      <w:r>
        <w:t>负责人负责研究问题、AST、集成和主讲；动态测试负责人负责probe、隔离、失败复现和录像；数据与报告负责人负责数据卡、标签、统计和材料。报告和PPT为可修改工作稿，学校模板、具体截止时间及署名信息仍待团队补齐。</w:t>
      </w:r>
    </w:p>
    <w:p>
      <w:r>
        <w:br w:type="page"/>
      </w:r>
    </w:p>
    <w:p>
      <w:pPr>
        <w:pStyle w:val="Heading1"/>
      </w:pPr>
      <w:r>
        <w:t>七、中期后研究安排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208"/>
      </w:tblGrid>
      <w:tr>
        <w:tc>
          <w:tcPr>
            <w:tcW w:type="dxa" w:w="4968"/>
            <w:shd w:fill="E9E9E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4968"/>
            <w:shd w:fill="E9E9E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工作与验收</w:t>
            </w:r>
          </w:p>
        </w:tc>
      </w:tr>
      <w:tr>
        <w:tc>
          <w:tcPr>
            <w:tcW w:type="dxa" w:w="158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第1—2周</w:t>
            </w:r>
          </w:p>
        </w:tc>
        <w:tc>
          <w:tcPr>
            <w:tcW w:type="dxa" w:w="820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补独立来源的真实缺陷与模型输出，建立来源/许可证/修复证据。功能与安全双重验收；按项目来源划分开发/评测。</w:t>
            </w:r>
          </w:p>
        </w:tc>
      </w:tr>
      <w:tr>
        <w:tc>
          <w:tcPr>
            <w:tcW w:type="dxa" w:w="158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第3—5周</w:t>
            </w:r>
          </w:p>
        </w:tc>
        <w:tc>
          <w:tcPr>
            <w:tcW w:type="dxa" w:w="820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研究输入到敏感调用的局部数据依赖，提取边界校验与必要依赖。在较长、多函数代码中检验上下文是否有效。</w:t>
            </w:r>
          </w:p>
        </w:tc>
      </w:tr>
      <w:tr>
        <w:tc>
          <w:tcPr>
            <w:tcW w:type="dxa" w:w="158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第6—8周</w:t>
            </w:r>
          </w:p>
        </w:tc>
        <w:tc>
          <w:tcPr>
            <w:tcW w:type="dxa" w:w="820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保留强直接生成基线，增加无LLM输入策略、去反馈/去依赖消融及第二模型；报告每次成功成本与失败类型。</w:t>
            </w:r>
          </w:p>
        </w:tc>
      </w:tr>
      <w:tr>
        <w:tc>
          <w:tcPr>
            <w:tcW w:type="dxa" w:w="158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条件性扩展</w:t>
            </w:r>
          </w:p>
        </w:tc>
        <w:tc>
          <w:tcPr>
            <w:tcW w:type="dxa" w:w="820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仅当主要失败来自路径约束时，选择少量函数试验约束求解。自动修复在可信复现和功能回归之后，跨语言最后考虑。</w:t>
            </w:r>
          </w:p>
        </w:tc>
      </w:tr>
    </w:tbl>
    <w:p>
      <w:r>
        <w:t>建议主线为“面向Python生成代码的风险上下文引导可验证安全测试”。下一步贡献应落到上下文提取与可验证判据的可解释增益，避免仅堆叠框架。置信区间应按独立样本/项目聚类；重复试验不当作独立样本，模板相似性需进一步检查。</w:t>
      </w:r>
    </w:p>
    <w:p>
      <w:r>
        <w:br w:type="page"/>
      </w:r>
    </w:p>
    <w:p>
      <w:pPr>
        <w:pStyle w:val="Heading1"/>
      </w:pPr>
      <w:r>
        <w:t>八、主要参考文献</w:t>
      </w:r>
    </w:p>
    <w:p>
      <w:r>
        <w:t>[1] Altmayer Pizzorno J, Berger E D. CoverUp: Effective High Coverage Test Generation for Python. FSE/PACMSE, 2025. DOI:10.1145/3729398.</w:t>
      </w:r>
    </w:p>
    <w:p>
      <w:r>
        <w:t>[2] Mathews N S, Nagappan M. Design choices made by LLM-based test generators prevent them from finding bugs. arXiv:2412.14137, 2024 (预印本).</w:t>
      </w:r>
    </w:p>
    <w:p>
      <w:r>
        <w:t>[3] Siddiq M L, Santos J C S. SecurityEval Dataset: Mining Vulnerability Examples to Evaluate Machine Learning-Based Code Generation Techniques. MSR4P&amp;S, 2022. DOI:10.1145/3549035.3561184.</w:t>
      </w:r>
    </w:p>
    <w:p>
      <w:r>
        <w:t>[4] Barr E T, et al. The Oracle Problem in Software Testing: A Survey. IEEE TSE, 2015, 41(5):507–525. DOI:10.1109/TSE.2014.2372785.</w:t>
      </w:r>
    </w:p>
    <w:p>
      <w:r>
        <w:t>[5] Lemieux C, et al. CODAMOSA: Escaping Coverage Plateaus in Test Generation with Pre-trained Large Language Models. ICSE, 2023.</w:t>
      </w:r>
    </w:p>
    <w:p>
      <w:r>
        <w:t>[6] Kang S, Yoon J, Yoo S. Large Language Models are Few-shot Testers: Exploring LLM-based General Bug Reproduction. ICSE, 2023. arXiv:2209.11515.</w:t>
      </w:r>
    </w:p>
    <w:p>
      <w:r>
        <w:t>[7] Konstantinou M, Degiovanni R, Papadakis M. How well LLM-based test generation techniques perform with newer LLM versions? arXiv:2601.09695v2, 2026 (预印本).</w:t>
      </w:r>
    </w:p>
    <w:p>
      <w:r>
        <w:t>[8] Pearce H, et al. Asleep at the Keyboard? Assessing the Security of GitHub Copilot’s Code Contributions. IEEE S&amp;P, 2022. arXiv:2108.09293.</w:t>
      </w:r>
    </w:p>
    <w:p>
      <w:r>
        <w:t>完整链接与阅读顺序：docs/参考文献与阅读顺序.md；文献管理：docs/references.bib。Bandit与DeepSeek Harness作为工具资料另列。SecurityEval未直接用于本轮数据，CoverUp研究覆盖率而非本项目安全判据。开题所引约40%仅对应历史Copilot特定实验，不能当作现今模型的普遍漏洞率。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2026年10月22日  /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北京交通大学大学生创新训练项目  ·  中期研究记录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WenQuanYi Zen Hei" w:hAnsi="WenQuanYi Zen Hei" w:eastAsia="WenQuanYi Zen 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WenQuanYi Zen Hei" w:hAnsi="WenQuanYi Zen Hei" w:eastAsia="WenQuanYi Zen 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WenQuanYi Zen Hei" w:hAnsi="WenQuanYi Zen Hei" w:eastAsia="WenQuanYi Zen 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WenQuanYi Zen Hei" w:hAnsi="WenQuanYi Zen Hei" w:eastAsia="WenQuanYi Zen 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WenQuanYi Zen Hei" w:hAnsi="WenQuanYi Zen Hei" w:eastAsia="WenQuanYi Zen 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