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基于程序分析的代码智能体</w:t>
        <w:br/>
        <w:t>安全性测试 Harness 构建方法</w:t>
      </w:r>
    </w:p>
    <w:p>
      <w:pPr>
        <w:pStyle w:val="Subtitle"/>
      </w:pPr>
      <w:r>
        <w:t>大创项目中期报告</w:t>
      </w:r>
    </w:p>
    <w:p>
      <w:r>
        <w:t>本报告依据立项原件、当前代码及实际运行记录编写。中期已形成可运行原型并完成受控参考验证；真实模型对照实验尚未开展。前期进度落后于立项安排，现将范围收敛到Python单文件、统一函数入口和三类安全性质，优先建立可追溯的实验闭环。</w:t>
      </w:r>
    </w:p>
    <w:p>
      <w:pPr>
        <w:pStyle w:val="Heading1"/>
      </w:pPr>
      <w:r>
        <w:t>一 研究目标与范围调整</w:t>
      </w:r>
    </w:p>
    <w:p>
      <w:r>
        <w:t>研究问题是：在相同模型、工具和调用预算上限下，静态分析提供的风险位置及函数上下文，能否帮助模型生成更有效的Python安全测试？保留原立项题目，首阶段覆盖路径穿越、命令注入和SQL注入。符号执行、自动修复及跨语言支持列入后续，不预设提升幅度。</w:t>
      </w:r>
    </w:p>
    <w:p>
      <w:r>
        <w:t>项目以可重复的安全性质测试为目标。模型仅选择测试输入与受限Hypothesis策略，统一probe负责调用入口、临时资源和断言。任意项目夹具生成、跨文件污点分析和完整代码智能体轨迹评估目前均未完成。</w:t>
      </w:r>
    </w:p>
    <w:p>
      <w:pPr>
        <w:pStyle w:val="Heading1"/>
      </w:pPr>
      <w:r>
        <w:t>二 实际进展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032"/>
      </w:tblGrid>
      <w:tr>
        <w:tc>
          <w:tcPr>
            <w:tcW w:type="dxa" w:w="3312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交付项</w:t>
            </w:r>
          </w:p>
        </w:tc>
        <w:tc>
          <w:tcPr>
            <w:tcW w:type="dxa" w:w="3312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3312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可追溯证据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分析与执行原型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已实现并验证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safety_harness/；containers/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受控样本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30对；6开发、24评测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data/controlled/freeze.json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参考测试验证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30/30配对成立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results/reference/*.json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服务器复现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三类代表案例均成立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results/server/*.json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SDK与MCP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无Key初始化与协议通过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results/dsh-integration.json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真实模型实验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未开展，Key留空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暂无A/B/C效果结果</w:t>
            </w:r>
          </w:p>
        </w:tc>
      </w:tr>
    </w:tbl>
    <w:p>
      <w:r>
        <w:t>AI辅助完成代码、资料整理和材料初稿；三位成员仍需理解方法、复核样本及判据并完成最终验收。报告不将AI辅助产物等同于已完成的双人标注或真人演练。</w:t>
      </w:r>
    </w:p>
    <w:p>
      <w:r>
        <w:br w:type="page"/>
      </w:r>
    </w:p>
    <w:p>
      <w:pPr>
        <w:pStyle w:val="Heading1"/>
      </w:pPr>
      <w:r>
        <w:t>三 技术路线与实现边界</w:t>
      </w:r>
    </w:p>
    <w:p>
      <w:r>
        <w:t>流程依次为Python代码、Bandit与AST分析、风险上下文、模型测试生成、隔离执行、证据与统计。Bandit复用现有安全扫描规则；项目AST模块提取函数签名、导入、敏感调用及其所在函数，采用局部语法分析，不声称已实现完整污点传播。</w:t>
      </w:r>
    </w:p>
    <w:p>
      <w:r>
        <w:t>pytest管理测试执行，Hypothesis支持有界输入扩展。模型输出须通过AST语法白名单，只允许受限策略及probe.check调用。安全断言由可信实现统一定义，从而避免模型仅用assert False或Mock命中制造漏洞结论。正常功能正确性仍须单独核验。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2520"/>
      </w:tblGrid>
      <w:tr>
        <w:tc>
          <w:tcPr>
            <w:tcW w:type="dxa" w:w="3312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安全性质</w:t>
            </w:r>
          </w:p>
        </w:tc>
        <w:tc>
          <w:tcPr>
            <w:tcW w:type="dxa" w:w="3312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实际触发证据</w:t>
            </w:r>
          </w:p>
        </w:tc>
        <w:tc>
          <w:tcPr>
            <w:tcW w:type="dxa" w:w="3312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修复版验收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路径穿越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返回公共目录外随机哨兵内容</w:t>
            </w:r>
          </w:p>
        </w:tc>
        <w:tc>
          <w:tcPr>
            <w:tcW w:type="dxa" w:w="2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同一测试不再越界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命令注入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在容器临时区创建无害标记</w:t>
            </w:r>
          </w:p>
        </w:tc>
        <w:tc>
          <w:tcPr>
            <w:tcW w:type="dxa" w:w="2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标记不产生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SQL注入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内存数据库返回PRIVATE行</w:t>
            </w:r>
          </w:p>
        </w:tc>
        <w:tc>
          <w:tcPr>
            <w:tcW w:type="dxa" w:w="2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私有行不返回</w:t>
            </w:r>
          </w:p>
        </w:tc>
      </w:tr>
    </w:tbl>
    <w:p>
      <w:r>
        <w:t>主要判据为同一测试在缺陷版触发违规、修复版通过。普通异常、语法或导入失败、超时、虚假断言分别记录为失败；静态告警不与动态复现混算。生成阶段只反馈缺陷版运行信息，修复版与人工参考输入不进入模型提示。</w:t>
      </w:r>
    </w:p>
    <w:p>
      <w:r>
        <w:t>每次运行在rootless Podman容器中执行，使用无网络、只读根、非特权用户、全部capability删除、no-new-privileges和资源限制。限制为1 CPU、256MiB内存、64个进程，默认执行超时20秒。容器仅接收当前目标代码与测试，不获得API密钥或个人目录。启动前检查隔离参数，失败立即停止，无宿主机回退路径。</w:t>
      </w:r>
    </w:p>
    <w:p>
      <w:r>
        <w:t>服务器经SSH验证支持rootless Podman。镜像仓库连接失败后，通过现有SSH传输本地已验证OCI镜像，未修改网络或管理配置。三类缺陷／修复案例在服务器重复成立，本地与服务器镜像ID一致。</w:t>
      </w:r>
    </w:p>
    <w:p>
      <w:r>
        <w:t>DeepSeek Harness采用固定版本SDK和官方MCP stdio插件，暴露analyze_project、run_harness、summarize_run。SDK初始化与独立MCP工具调用已验证，带模型完整回合尚未验证。主实验保留直接API入口，以固定调用上限和预算。上游框架属于复用组件，项目贡献在上下文组织、探针、隔离证据与实验设计。</w:t>
      </w:r>
    </w:p>
    <w:p>
      <w:r>
        <w:br w:type="page"/>
      </w:r>
    </w:p>
    <w:p>
      <w:pPr>
        <w:pStyle w:val="Heading1"/>
      </w:pPr>
      <w:r>
        <w:t>四 实验设计与当前结果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320"/>
        <w:gridCol w:w="4176"/>
      </w:tblGrid>
      <w:tr>
        <w:tc>
          <w:tcPr>
            <w:tcW w:type="dxa" w:w="3312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组别</w:t>
            </w:r>
          </w:p>
        </w:tc>
        <w:tc>
          <w:tcPr>
            <w:tcW w:type="dxa" w:w="3312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模型可见信息</w:t>
            </w:r>
          </w:p>
        </w:tc>
        <w:tc>
          <w:tcPr>
            <w:tcW w:type="dxa" w:w="3312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共同约束</w:t>
            </w:r>
          </w:p>
        </w:tc>
      </w:tr>
      <w:t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需求、源码、统一测试规范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同模型、温度0、1800输出Token</w:t>
            </w:r>
          </w:p>
        </w:tc>
      </w:tr>
      <w:t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 加 Bandit 告警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生成1次、反馈修订最多2次</w:t>
            </w:r>
          </w:p>
        </w:tc>
      </w:tr>
      <w:t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B 加 AST 风险函数与依赖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只改测试，每样本重复3次</w:t>
            </w:r>
          </w:p>
        </w:tc>
      </w:tr>
    </w:tbl>
    <w:p>
      <w:r>
        <w:t>受控数据30组缺陷／修复配对，每类10组，其中6组用于开发、24组冻结评测。样本均为AI辅助人工构造的模板变体，明确记录来源与哈希，不能计作模型生成成果。正式受控评测共216个trial，最多648次生成调用。另用12个正常需求生成代码，每类4个，保留全部结果，由两名成员核验标签，未知项单列，两类数据分别报告。</w:t>
      </w:r>
    </w:p>
    <w:p>
      <w:r>
        <w:t>在每个样本及重复块内安排A/B/C，并随机化组序。三组看到同一份完整单文件源码，因此C组检验的是风险定位与上下文整理的增益。成功可以早停，报告实际调用和Token；相同的是预算上限。正式比较仅使用完整匹配块，失败项不能被静默删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2160"/>
        <w:gridCol w:w="2160"/>
      </w:tblGrid>
      <w:tr>
        <w:tc>
          <w:tcPr>
            <w:tcW w:type="dxa" w:w="2484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参考测试集</w:t>
            </w:r>
          </w:p>
        </w:tc>
        <w:tc>
          <w:tcPr>
            <w:tcW w:type="dxa" w:w="2484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可运行配对</w:t>
            </w:r>
          </w:p>
        </w:tc>
        <w:tc>
          <w:tcPr>
            <w:tcW w:type="dxa" w:w="2484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确认复现</w:t>
            </w:r>
          </w:p>
        </w:tc>
        <w:tc>
          <w:tcPr>
            <w:tcW w:type="dxa" w:w="2484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修复版触发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开发集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0/6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冻结评测集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24/24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24/24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0/24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合计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30/30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30/30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0/30</w:t>
            </w:r>
          </w:p>
        </w:tc>
      </w:tr>
    </w:tbl>
    <w:p>
      <w:r>
        <w:t>上述结果来自人工参考测试，只证明当前受控样本和执行判据可用，不能推断模型效果。评测24例中仅5例含分支，最终参考测试平均分支覆盖为50%；其余19例无分支，不进入该均值。当前模型调用为0，暂无真实A/B/C胜负、提升率或显著性结论。</w:t>
      </w:r>
    </w:p>
    <w:p>
      <w:r>
        <w:t>路径案例path-01用../secret.txt触发缺陷版返回私有内容，修复版路径边界检查拒绝访问。普通断言失败的分类测试被记为harness_error，死循环容器测试按timeout终止；这些失败不会被记为漏洞。单元与协议测试21项、真实容器测试5项均通过，测试记录分别保存在JUnit文件中。</w:t>
      </w:r>
    </w:p>
    <w:p>
      <w:r>
        <w:t>主指标包括可运行率、缺陷复现率、安全版本误报率、被测代码分支覆盖、执行耗时及Token。每项公布分母、失败数与缺失值。JSON保留响应、执行与配对证据，CSV由日志重建。默认API规划总上限100元，先开发集小批量测成本；密钥仍为空，预算不是已发生费用。</w:t>
      </w:r>
    </w:p>
    <w:p>
      <w:r>
        <w:br w:type="page"/>
      </w:r>
    </w:p>
    <w:p>
      <w:pPr>
        <w:pStyle w:val="Heading1"/>
      </w:pPr>
      <w:r>
        <w:t>五 当前问题与应对</w:t>
      </w:r>
    </w:p>
    <w:p>
      <w:r>
        <w:t>进度滞后的主要应对是缩小实现边界并优先完成可验证闭环。当前仅支持单文件和统一handle入口，手工模板短小且相似，开发／评测间存在模式相似风险。样本数量及来源限制了外推能力，后续引入独立项目并按来源或模板划分。无提升或负提升也须如实报告。</w:t>
      </w:r>
    </w:p>
    <w:p>
      <w:r>
        <w:t>安全性质通过不等于功能正确：拒绝全部输入可能通过安全测试。生成代码核验应补充正常功能用例。同进程目标代码若刻意篡改probe或运行报告，当前实现不能给出完全可信的对抗证明；后续可独立证据采集边界。容器隔离也不等于抵御未知内核漏洞。</w:t>
      </w:r>
    </w:p>
    <w:p>
      <w:pPr>
        <w:pStyle w:val="Heading1"/>
      </w:pPr>
      <w:r>
        <w:t>六 后续排期与分工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7848"/>
      </w:tblGrid>
      <w:tr>
        <w:tc>
          <w:tcPr>
            <w:tcW w:type="dxa" w:w="4968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时段</w:t>
            </w:r>
          </w:p>
        </w:tc>
        <w:tc>
          <w:tcPr>
            <w:tcW w:type="dxa" w:w="4968"/>
            <w:shd w:fill="E9E9E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工作与验收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D1—2</w:t>
            </w:r>
          </w:p>
        </w:tc>
        <w:tc>
          <w:tcPr>
            <w:tcW w:type="dxa" w:w="78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环境、样本规范与一个人工案例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D3—5</w:t>
            </w:r>
          </w:p>
        </w:tc>
        <w:tc>
          <w:tcPr>
            <w:tcW w:type="dxa" w:w="78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闭环与框架接入，接入最多两个人日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D6—8</w:t>
            </w:r>
          </w:p>
        </w:tc>
        <w:tc>
          <w:tcPr>
            <w:tcW w:type="dxa" w:w="78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三类案例、日志接口、冻结评测集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D9—11</w:t>
            </w:r>
          </w:p>
        </w:tc>
        <w:tc>
          <w:tcPr>
            <w:tcW w:type="dxa" w:w="78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开发集A/B/C试跑、标签与成本核验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D12—14</w:t>
            </w:r>
          </w:p>
        </w:tc>
        <w:tc>
          <w:tcPr>
            <w:tcW w:type="dxa" w:w="78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正式实验、复核、报告与录像更新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D15—18</w:t>
            </w:r>
          </w:p>
        </w:tc>
        <w:tc>
          <w:tcPr>
            <w:tcW w:type="dxa" w:w="78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七页PPT、问答及两轮计时演练</w:t>
            </w:r>
          </w:p>
        </w:tc>
      </w:tr>
    </w:tbl>
    <w:p>
      <w:r>
        <w:t>负责人负责研究问题、AST、框架集成与主讲；动态测试负责人负责测试生成、隔离、反馈和演示；数据与报告负责人负责样本、标签、相关工作、统计及材料。排期从团队确认启动日算起，收到学院模板和截止日期后调整。</w:t>
      </w:r>
    </w:p>
    <w:p>
      <w:r>
        <w:t>答辩共7页，页预算依次25、35、55、45、75、35、30秒，总计300秒。第4页配20秒静音真实记录回放，不依赖现场API。讲稿约900—1100汉字；真人两轮计时尚未开展，目标4分40秒至4分50秒，预留切页缓冲。</w:t>
      </w:r>
    </w:p>
    <w:p>
      <w:pPr>
        <w:pStyle w:val="Heading1"/>
      </w:pPr>
      <w:r>
        <w:t>资料与证据索引</w:t>
      </w:r>
    </w:p>
    <w:p>
      <w:pPr>
        <w:spacing w:after="60"/>
      </w:pPr>
      <w:r>
        <w:rPr>
          <w:sz w:val="16"/>
        </w:rPr>
        <w:t>[1] 项目开题报告，11页，原始PDF已阅读，含个人信息的原件不随公开仓库分发。</w:t>
      </w:r>
    </w:p>
    <w:p>
      <w:pPr>
        <w:spacing w:after="60"/>
      </w:pPr>
      <w:r>
        <w:rPr>
          <w:sz w:val="16"/>
        </w:rPr>
        <w:t>[2] Bandit官方文档：https://bandit.readthedocs.io/en/latest/ 。用于静态扫描方法与复用边界。</w:t>
      </w:r>
    </w:p>
    <w:p>
      <w:pPr>
        <w:spacing w:after="60"/>
      </w:pPr>
      <w:r>
        <w:rPr>
          <w:sz w:val="16"/>
        </w:rPr>
        <w:t>[3] pytest：https://docs.pytest.org/en/stable/ ；Hypothesis：https://hypothesis.readthedocs.io/en/latest/ 。</w:t>
      </w:r>
    </w:p>
    <w:p>
      <w:pPr>
        <w:spacing w:after="60"/>
      </w:pPr>
      <w:r>
        <w:rPr>
          <w:sz w:val="16"/>
        </w:rPr>
        <w:t>[4] DeepSeek Harness：https://github.com/deepseek-ai/deepseek-harness 。固定SDK 0.2.1rc2，源码提交见集成记录。</w:t>
      </w:r>
    </w:p>
    <w:p>
      <w:pPr>
        <w:spacing w:after="60"/>
      </w:pPr>
      <w:r>
        <w:rPr>
          <w:sz w:val="16"/>
        </w:rPr>
        <w:t>[5] SecurityEval：https://github.com/s2e-lab/SecurityEval 。仅作后续数据来源线索，未计入当前样本。</w:t>
      </w:r>
    </w:p>
    <w:p>
      <w:pPr>
        <w:spacing w:after="60"/>
      </w:pPr>
      <w:r>
        <w:rPr>
          <w:sz w:val="16"/>
        </w:rPr>
        <w:t>[6] 运行证据：results/reference/、results/server/、results/unit-tests.xml、results/container-tests.xml。资料核查日期2026-10-21。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2026年10月21日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北京交通大学大学生创新训练项目  ·  中期研究记录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WenQuanYi Zen Hei" w:hAnsi="WenQuanYi Zen Hei" w:eastAsia="WenQuanYi Zen 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WenQuanYi Zen Hei" w:hAnsi="WenQuanYi Zen Hei" w:eastAsia="WenQuanYi Zen 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WenQuanYi Zen Hei" w:hAnsi="WenQuanYi Zen Hei" w:eastAsia="WenQuanYi Zen 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