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基于程序分析的代码智能体</w:t>
        <w:br/>
        <w:t>安全性测试 Harness 构建方法</w:t>
      </w:r>
    </w:p>
    <w:p>
      <w:r>
        <w:t>中期报告工作稿　｜　研究与工程进展更新至 2026 年 10 月 27 日</w:t>
      </w:r>
    </w:p>
    <w:p>
      <w:pPr>
        <w:pStyle w:val="Heading1"/>
      </w:pPr>
      <w:r>
        <w:t>一 研究目标与实际进展</w:t>
      </w:r>
    </w:p>
    <w:p>
      <w:r>
        <w:t>我们已完成局部静态分析、模型生成测试、隔离执行与配对判定的原型，并完成一轮冻结对照实验和一轮补充试跑。现阶段结果表明风险上下文可能有帮助，但增益并不稳定；尚不能据此宣称适用于真实大型项目。新增客户端支持通过对话调用分析和测试工具，其工程验证与方法效果评测分别记录。</w:t>
      </w:r>
    </w:p>
    <w:p>
      <w:pPr>
        <w:pStyle w:val="Heading2"/>
      </w:pPr>
      <w:r>
        <w:t>研究问题和范围调整</w:t>
      </w:r>
    </w:p>
    <w:p>
      <w:r>
        <w:t>在相同模型、工具与调用上限下，Bandit告警及AST整理的风险函数上下文，能否帮助模型生成更有效的Python安全测试？中期覆盖路径穿越、命令注入、SQL注入，要求真实违规证据和缺陷版／修复版配对。</w:t>
      </w:r>
    </w:p>
    <w:p>
      <w:r>
        <w:t>项目进度落后于开题安排。保留原立项题目，将本阶段收敛到单文件、统一入口的局部分析；完整CFG与数据流、符号执行、自动修复、跨语言，以及开题中更大规模的生成代码验证尚未完成。开题预期的“提升30%”等目标不能写成实测结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tblHeader/>
        </w:trPr>
        <w:tc>
          <w:tcPr>
            <w:tcW w:type="dxa" w:w="170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7824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完成情况及证据边界</w:t>
            </w:r>
          </w:p>
        </w:tc>
      </w:tr>
      <w:tr>
        <w:tc>
          <w:tcPr>
            <w:tcW w:type="dxa" w:w="170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测试原型</w:t>
            </w:r>
          </w:p>
        </w:tc>
        <w:tc>
          <w:tcPr>
            <w:tcW w:type="dxa" w:w="78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Bandit与AST、受限pytest/Hypothesis测试、容器、probe、JSON/CSV、CLI与MCP接口已实现。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研究实验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30对人工参考配对；216次冻结试验；72次补充试跑，三者分开统计。</w:t>
            </w:r>
          </w:p>
        </w:tc>
      </w:tr>
      <w:tr>
        <w:tc>
          <w:tcPr>
            <w:tcW w:type="dxa" w:w="170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会话客户端</w:t>
            </w:r>
          </w:p>
        </w:tc>
        <w:tc>
          <w:tcPr>
            <w:tcW w:type="dxa" w:w="78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真实模型读文件、静态分析、path-01配对与修改提案已验证；应用修改需用户确认。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真实模型输出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12份全部保留。已有外部初审反馈；完整动态验收与两名真人独立标签仍待补证。</w:t>
            </w:r>
          </w:p>
        </w:tc>
      </w:tr>
      <w:tr>
        <w:tc>
          <w:tcPr>
            <w:tcW w:type="dxa" w:w="170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框架接入</w:t>
            </w:r>
          </w:p>
        </w:tc>
        <w:tc>
          <w:tcPr>
            <w:tcW w:type="dxa" w:w="78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主实验和客户端采用直接API；官方DeepSeek Harness SDK仅初始化及MCP启动验证。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工程验证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2026-10-25记录：56项非容器Python、6项容器、5项JS测试通过；不等于67项端到端验收。</w:t>
            </w:r>
          </w:p>
        </w:tc>
      </w:tr>
    </w:tbl>
    <w:p>
      <w:pPr>
        <w:spacing w:after="0" w:line="80" w:lineRule="exact"/>
      </w:pPr>
      <w:r>
        <w:rPr>
          <w:sz w:val="2"/>
        </w:rPr>
      </w:r>
    </w:p>
    <w:p>
      <w:r>
        <w:t>AI用于辅助实现、审查与材料初稿；团队成员负责理解程序、独立复核、现场演示和最终验收。报告不代替真人签字、学院模板或导师意见。</w:t>
      </w:r>
    </w:p>
    <w:p>
      <w:pPr>
        <w:pStyle w:val="Heading1"/>
        <w:pageBreakBefore/>
      </w:pPr>
      <w:r>
        <w:t>二 系统方法与判定依据</w:t>
      </w:r>
    </w:p>
    <w:p>
      <w:r>
        <w:t>流程为Python代码 → Bandit与AST → 风险上下文 → 模型生成测试 → 隔离执行 → 证据汇总。Bandit复用已有规则；AST按敏感调用名称定位所在函数，提取签名与导入。当前依赖信息主要是局部语法上下文，不等同于完整的数据流或污点分析。</w:t>
      </w:r>
    </w:p>
    <w:p>
      <w:pPr>
        <w:pStyle w:val="Heading2"/>
      </w:pPr>
      <w:r>
        <w:t>测试如何生成和执行</w:t>
      </w:r>
    </w:p>
    <w:p>
      <w:r>
        <w:t>模型产生受限pytest测试及输入策略，可借助Hypothesis扩展边界；统一probe负责入口、临时资源与安全性质断言。每个试验最多一次生成、两次根据缺陷版反馈修订，只修改测试。模型不接收修复版、人工标签或参考触发输入。所有组均获得完整单文件源码，因此C组检验的是上下文显式组织的增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tblHeader/>
        </w:trPr>
        <w:tc>
          <w:tcPr>
            <w:tcW w:type="dxa" w:w="170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组别</w:t>
            </w:r>
          </w:p>
        </w:tc>
        <w:tc>
          <w:tcPr>
            <w:tcW w:type="dxa" w:w="7824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模型获得的信息</w:t>
            </w:r>
          </w:p>
        </w:tc>
      </w:tr>
      <w:tr>
        <w:tc>
          <w:tcPr>
            <w:tcW w:type="dxa" w:w="170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A 直接生成</w:t>
            </w:r>
          </w:p>
        </w:tc>
        <w:tc>
          <w:tcPr>
            <w:tcW w:type="dxa" w:w="78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需求、完整源码和统一测试规范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B 告警引导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A组信息 + Bandit告警</w:t>
            </w:r>
          </w:p>
        </w:tc>
      </w:tr>
      <w:tr>
        <w:tc>
          <w:tcPr>
            <w:tcW w:type="dxa" w:w="170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C 上下文引导</w:t>
            </w:r>
          </w:p>
        </w:tc>
        <w:tc>
          <w:tcPr>
            <w:tcW w:type="dxa" w:w="78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B组信息 + AST定位的风险函数、签名与导入</w:t>
            </w:r>
          </w:p>
        </w:tc>
      </w:tr>
    </w:tbl>
    <w:p>
      <w:pPr>
        <w:spacing w:after="0" w:line="8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855"/>
      </w:tblGrid>
      <w:tr>
        <w:trPr>
          <w:tblHeader/>
        </w:trPr>
        <w:tc>
          <w:tcPr>
            <w:tcW w:type="dxa" w:w="170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动态证据</w:t>
            </w:r>
          </w:p>
        </w:tc>
        <w:tc>
          <w:tcPr>
            <w:tcW w:type="dxa" w:w="3855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排除的错误判据</w:t>
            </w:r>
          </w:p>
        </w:tc>
      </w:tr>
      <w:tr>
        <w:tc>
          <w:tcPr>
            <w:tcW w:type="dxa" w:w="170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路径穿越</w:t>
            </w:r>
          </w:p>
        </w:tc>
        <w:tc>
          <w:tcPr>
            <w:tcW w:type="dxa" w:w="396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读到临时目录外的随机哨兵</w:t>
            </w:r>
          </w:p>
        </w:tc>
        <w:tc>
          <w:tcPr>
            <w:tcW w:type="dxa" w:w="3855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仅产生路径字符串或异常不算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命令注入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隔离环境出现无害执行标记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Mock命中、回显标记路径不算</w:t>
            </w:r>
          </w:p>
        </w:tc>
      </w:tr>
      <w:tr>
        <w:tc>
          <w:tcPr>
            <w:tcW w:type="dxa" w:w="170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SQL注入</w:t>
            </w:r>
          </w:p>
        </w:tc>
        <w:tc>
          <w:tcPr>
            <w:tcW w:type="dxa" w:w="396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内存数据库返回越权PRIVATE行</w:t>
            </w:r>
          </w:p>
        </w:tc>
        <w:tc>
          <w:tcPr>
            <w:tcW w:type="dxa" w:w="3855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查询报错或普通异常不算</w:t>
            </w:r>
          </w:p>
        </w:tc>
      </w:tr>
    </w:tbl>
    <w:p>
      <w:pPr>
        <w:spacing w:after="0" w:line="80" w:lineRule="exact"/>
      </w:pPr>
      <w:r>
        <w:rPr>
          <w:sz w:val="2"/>
        </w:rPr>
      </w:r>
    </w:p>
    <w:p>
      <w:r>
        <w:t>主要成功标准：同一最终测试在缺陷版触发违规、在修复版通过。语法错误、导入失败、超时与普通异常分别保留；测试通过只能说明本次未发现违规。正常功能另行验收，避免“拒绝所有输入”的实现被误写为合格。判定器设计参考测试预言问题[4]，生成反馈流程参考CoverUp[1]，漏洞发现能力不能用覆盖率替代[2]。</w:t>
      </w:r>
    </w:p>
    <w:p>
      <w:pPr>
        <w:pStyle w:val="Heading2"/>
      </w:pPr>
      <w:r>
        <w:t>隔离与客户端边界</w:t>
      </w:r>
    </w:p>
    <w:p>
      <w:r>
        <w:t>目标在rootless、无网络、非特权、只读根文件系统容器中执行，删除capability并限制CPU、内存、PID与超时，不传入API密钥。隔离验证失败即停止，不回退宿主机。probe与目标同进程，目前不能宣称可抵抗恶意目标篡改判定器。</w:t>
      </w:r>
    </w:p>
    <w:p>
      <w:r>
        <w:t>客户端是项目自有有界Agent，通过DeepSeek API调度读文件、分析、已知案例配对等工具，不提供宿主机Shell。修改先展示diff，确认后检查原文SHA-256再写入。它是浏览器中的桌面式界面，尚非原生桌面安装包。官方SDK固定0.2.1rc2／commit 687f282e8625c6b8d11ff58211a90524be2e4317，未将启动验证写成完整模型回合验收。</w:t>
      </w:r>
    </w:p>
    <w:p>
      <w:pPr>
        <w:pStyle w:val="Heading1"/>
        <w:pageBreakBefore/>
      </w:pPr>
      <w:r>
        <w:t>三 冻结评测设置与结果</w:t>
      </w:r>
    </w:p>
    <w:p>
      <w:r>
        <w:t>数据为30对人工构造缺陷／修复样本，每类10对；6对开发、24对冻结评测。每个样本A/B/C各重复3次，共216次试验、72个匹配块。样本含相似模板，216次试验不是216个独立程序。模型为deepseek-flash，非思考模式，temperature=0，最多1800输出Token，每试验最多3次请求；相同调用上限不意味着相同实际Token或费用。</w:t>
      </w:r>
    </w:p>
    <w:p>
      <w:r>
        <w:t>7次网络失败无法确认服务端是否处理，全部保守计为请求。超上限试验所在整个A/B/C匹配块退出主要比较，共排除3块，保留69块、207次试验。此规则在首次失败后、续跑前记录，并非原始预注册，故同时披露全量结果。原始响应、测试、目标／镜像哈希、反馈链核验通过，不能替代独立的安全判定审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2211"/>
        <w:gridCol w:w="2211"/>
        <w:gridCol w:w="2211"/>
      </w:tblGrid>
      <w:tr>
        <w:trPr>
          <w:tblHeader/>
        </w:trPr>
        <w:tc>
          <w:tcPr>
            <w:tcW w:type="dxa" w:w="289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1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A 直接</w:t>
            </w:r>
          </w:p>
        </w:tc>
        <w:tc>
          <w:tcPr>
            <w:tcW w:type="dxa" w:w="221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B 告警</w:t>
            </w:r>
          </w:p>
        </w:tc>
        <w:tc>
          <w:tcPr>
            <w:tcW w:type="dxa" w:w="221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C 上下文</w:t>
            </w:r>
          </w:p>
        </w:tc>
      </w:tr>
      <w:tr>
        <w:tc>
          <w:tcPr>
            <w:tcW w:type="dxa" w:w="289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主要配对复现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61/69（88.4%）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62/69（89.9%）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67/69（97.1%）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全量配对复现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62/72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63/72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68/72</w:t>
            </w:r>
          </w:p>
        </w:tc>
      </w:tr>
      <w:tr>
        <w:tc>
          <w:tcPr>
            <w:tcW w:type="dxa" w:w="289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主要可运行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68/69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69/69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69/69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缺陷最终未触发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89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缺陷测试错误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修复版误报／有效数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0/69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0/69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0/69</w:t>
            </w:r>
          </w:p>
        </w:tc>
      </w:tr>
      <w:tr>
        <w:tc>
          <w:tcPr>
            <w:tcW w:type="dxa" w:w="289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修复版未判定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分支覆盖均值／分母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76.9% / 13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76.9% / 13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76.9% / 13</w:t>
            </w:r>
          </w:p>
        </w:tc>
      </w:tr>
      <w:tr>
        <w:tc>
          <w:tcPr>
            <w:tcW w:type="dxa" w:w="289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输入／输出Token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74463 / 19412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83365 / 21274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80099 / 18465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执行耗时（秒）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288.2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293.6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270.8</w:t>
            </w:r>
          </w:p>
        </w:tc>
      </w:tr>
      <w:tr>
        <w:tc>
          <w:tcPr>
            <w:tcW w:type="dxa" w:w="289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模型耗时（秒）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132.7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139.9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119.9</w:t>
            </w:r>
          </w:p>
        </w:tc>
      </w:tr>
    </w:tbl>
    <w:p>
      <w:pPr>
        <w:spacing w:after="0" w:line="80" w:lineRule="exact"/>
      </w:pPr>
      <w:r>
        <w:rPr>
          <w:sz w:val="2"/>
        </w:rPr>
      </w:r>
    </w:p>
    <w:p>
      <w:r>
        <w:t>C相对A高8.7个百分点，属于当前人工样本、单模型和统一probe条件下的描述性差异，不声称统计显著或普遍提升。分支覆盖仅纳入有分支且记录有效的目标，每组分母13；不能把76.9%当作全数据集总体覆盖。耗时为记录合计，不包含人工恢复等待。</w:t>
      </w:r>
    </w:p>
    <w:p>
      <w:r>
        <w:t>全批次保存315份响应，输入265,118、输出63,862 Token。按该批次记录的未缓存高峰单价计算，成功响应成本保守估计1.0411元；失败请求未知费用未包括，仍保留在共享100元预算预留中。历史估算及预留均不等于平台账单。</w:t>
      </w:r>
    </w:p>
    <w:p>
      <w:pPr>
        <w:pStyle w:val="Heading1"/>
        <w:pageBreakBefore/>
      </w:pPr>
      <w:r>
        <w:t>四 补充评测与案例分析</w:t>
      </w:r>
    </w:p>
    <w:p>
      <w:pPr>
        <w:pStyle w:val="Heading2"/>
      </w:pPr>
      <w:r>
        <w:t>补充动态试跑单独报告</w:t>
      </w:r>
    </w:p>
    <w:p>
      <w:r>
        <w:t>2026年10月25日对同一套24个评测样本，每组各运行一次，共72次试验；不是新增24个独立项目。预算与主要配置保持一致，未改核心提示和probe。107份成功响应及5次不确定请求均保留；每个试验仍在3次请求上限内，无匹配块剔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2211"/>
        <w:gridCol w:w="2211"/>
        <w:gridCol w:w="2211"/>
      </w:tblGrid>
      <w:tr>
        <w:trPr>
          <w:tblHeader/>
        </w:trPr>
        <w:tc>
          <w:tcPr>
            <w:tcW w:type="dxa" w:w="289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1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A 直接</w:t>
            </w:r>
          </w:p>
        </w:tc>
        <w:tc>
          <w:tcPr>
            <w:tcW w:type="dxa" w:w="221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B 告警</w:t>
            </w:r>
          </w:p>
        </w:tc>
        <w:tc>
          <w:tcPr>
            <w:tcW w:type="dxa" w:w="2211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C 上下文</w:t>
            </w:r>
          </w:p>
        </w:tc>
      </w:tr>
      <w:tr>
        <w:tc>
          <w:tcPr>
            <w:tcW w:type="dxa" w:w="289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配对复现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20/24（83.3%）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22/24（91.7%）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22/24（91.7%）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可运行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23/24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24/24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24/24</w:t>
            </w:r>
          </w:p>
        </w:tc>
      </w:tr>
      <w:tr>
        <w:tc>
          <w:tcPr>
            <w:tcW w:type="dxa" w:w="289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未触发／测试错误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3 / 1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 / 0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 / 0</w:t>
            </w:r>
          </w:p>
        </w:tc>
      </w:tr>
      <w:tr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修复版误报／有效数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0/24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0/24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0/24</w:t>
            </w:r>
          </w:p>
        </w:tc>
      </w:tr>
      <w:tr>
        <w:tc>
          <w:tcPr>
            <w:tcW w:type="dxa" w:w="289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修复版未判定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11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0" w:line="80" w:lineRule="exact"/>
      </w:pPr>
      <w:r>
        <w:rPr>
          <w:sz w:val="2"/>
        </w:rPr>
      </w:r>
    </w:p>
    <w:p>
      <w:r>
        <w:t>本批次B/C均为22/24，未观察到AST上下文相对告警的额外增益。分支覆盖仅5个有效记录，均为80%。输入91,545、输出21,271 Token；成功响应按历史单价估计0.353258元，账本预留增加2.540022元，二者不可混用。两批试验按各自分母分别报告。</w:t>
      </w:r>
    </w:p>
    <w:p>
      <w:pPr>
        <w:pStyle w:val="Heading2"/>
      </w:pPr>
      <w:r>
        <w:t>一个成功案例和一个失败案例</w:t>
      </w:r>
    </w:p>
    <w:p>
      <w:r>
        <w:t>path-01人工参考测试输入../secret.txt：缺陷版直接拼接路径，读到公共目录外哨兵；修复版规范化路径、检查边界后拒绝访问，同一测试通过。该案例保留了原始执行记录。30/30人工参考配对证明执行链路可用，不能计为模型生成测试成绩。</w:t>
      </w:r>
    </w:p>
    <w:p>
      <w:r>
        <w:t>冻结批次path-10的repeat=0中三组均未复现。目标只拦截以../开头的输入，./../secret.txt仍可绕过；模型未构造有效输入。补充批次path-04、path-10也均未复现。失败可能来自输入选择及环境／判据配合，不能归结为目标安全。</w:t>
      </w:r>
    </w:p>
    <w:p>
      <w:pPr>
        <w:pStyle w:val="Heading2"/>
      </w:pPr>
      <w:r>
        <w:t>SecurityEval仅完成静态诊断</w:t>
      </w:r>
    </w:p>
    <w:p>
      <w:r>
        <w:t>对官方固定提交6f4fb70f782c6d47b02ea24341e8ef8c1eb04a6a下121份Insecure_code分析：Bandit告警48份、AST敏感调用18份，任一线索53/121（43.8%），告警CWE与编号精确一致23/121。0个目标执行、0次模型调用。此处是线索覆盖，不是准确率、动态漏洞检出率或排行榜成绩。</w:t>
      </w:r>
    </w:p>
    <w:p>
      <w:r>
        <w:t>上游不安全标签未独立核验，缺少安全负例，入口与依赖资源尚未适配统一动态接口。SecurityEval[3]为外部样本来源参考；不能把该静态诊断与本项目配对复现分母相加。</w:t>
      </w:r>
    </w:p>
    <w:p>
      <w:pPr>
        <w:pStyle w:val="Heading1"/>
        <w:pageBreakBefore/>
      </w:pPr>
      <w:r>
        <w:t>五 问题调整与后续计划</w:t>
      </w:r>
    </w:p>
    <w:p>
      <w:pPr>
        <w:pStyle w:val="Heading2"/>
      </w:pPr>
      <w:r>
        <w:t>中期尚未完成的验收</w:t>
      </w:r>
    </w:p>
    <w:p>
      <w:r>
        <w:t>12份真实模型输出已保留，外部审查反馈提供了静态线索和待裁决问题；本轮尚缺完整动态日志及两名真人签署的标签。仍需在规定隔离环境中执行正常功能与安全测试，记录镜像、目标／测试哈希，完成两人独立标注并解决分歧。未知样本不删除、不当作安全。</w:t>
      </w:r>
    </w:p>
    <w:p>
      <w:r>
        <w:t>团队还需裁决.txt后缀约束、SQL前缀查询大小写语义及可信root内符号链接的威胁模型。这些是功能契约与攻击前提问题，不能凭静态可能性写成已确认漏洞。成员必须分别重跑并能解释代表案例，完成两轮真人计时。</w:t>
      </w:r>
    </w:p>
    <w:p>
      <w:pPr>
        <w:pStyle w:val="Heading2"/>
      </w:pPr>
      <w:r>
        <w:t>与开题路径的关系及局限</w:t>
      </w:r>
    </w:p>
    <w:p>
      <w:r>
        <w:t>当前仍沿着“程序分析指导动态测试”的主线推进，已验证工程闭环与小规模对照；与原计划相比，覆盖面、分析深度和真实项目验证明显收窄。原计划的完整生成项目、200份规模、符号执行和自动修复并未实现。下一阶段先补充真实样本和验收依据，再扩展分析方法。</w:t>
      </w:r>
    </w:p>
    <w:p>
      <w:r>
        <w:t>有效性限制包括模板相似、单一模型和可能变化的模型别名、统一入口、完整源码已提供各组、局部名称匹配与同进程probe。当前结果既不证明能抵御任意恶意程序，也不证明C组在大型项目中稳定优于强基线。之后按独立来源／项目划分评测，避免把重复运行当作独立样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365"/>
        <w:gridCol w:w="3402"/>
      </w:tblGrid>
      <w:tr>
        <w:trPr>
          <w:tblHeader/>
        </w:trPr>
        <w:tc>
          <w:tcPr>
            <w:tcW w:type="dxa" w:w="1757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65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研究任务</w:t>
            </w:r>
          </w:p>
        </w:tc>
        <w:tc>
          <w:tcPr>
            <w:tcW w:type="dxa" w:w="3402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验收依据</w:t>
            </w:r>
          </w:p>
        </w:tc>
      </w:tr>
      <w:tr>
        <w:tc>
          <w:tcPr>
            <w:tcW w:type="dxa" w:w="1757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中期提交前</w:t>
            </w:r>
          </w:p>
        </w:tc>
        <w:tc>
          <w:tcPr>
            <w:tcW w:type="dxa" w:w="4365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补12份动态和功能验收；两人独立标签；计时演练</w:t>
            </w:r>
          </w:p>
        </w:tc>
        <w:tc>
          <w:tcPr>
            <w:tcW w:type="dxa" w:w="340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可追溯日志、签署表与两轮计时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中期后1至2周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扩充独立来源真实缺陷与模型输出，记录来源和许可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功能／安全双判据，按来源划分数据</w:t>
            </w:r>
          </w:p>
        </w:tc>
      </w:tr>
      <w:tr>
        <w:tc>
          <w:tcPr>
            <w:tcW w:type="dxa" w:w="1757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第3至5周</w:t>
            </w:r>
          </w:p>
        </w:tc>
        <w:tc>
          <w:tcPr>
            <w:tcW w:type="dxa" w:w="4365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提取输入到敏感调用的局部数据依赖和边界校验</w:t>
            </w:r>
          </w:p>
        </w:tc>
        <w:tc>
          <w:tcPr>
            <w:tcW w:type="dxa" w:w="340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多函数代码中的上下文消融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第6至8周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强直接生成基线、无LLM策略、去反馈消融及第二模型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成功率、误报、失败类别、每次成功成本</w:t>
            </w:r>
          </w:p>
        </w:tc>
      </w:tr>
      <w:tr>
        <w:tc>
          <w:tcPr>
            <w:tcW w:type="dxa" w:w="1757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条件性扩展</w:t>
            </w:r>
          </w:p>
        </w:tc>
        <w:tc>
          <w:tcPr>
            <w:tcW w:type="dxa" w:w="4365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仅在路径约束成为主要失败原因时试验有界符号执行</w:t>
            </w:r>
          </w:p>
        </w:tc>
        <w:tc>
          <w:tcPr>
            <w:tcW w:type="dxa" w:w="340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小规模有界验证后再决定扩大</w:t>
            </w:r>
          </w:p>
        </w:tc>
      </w:tr>
    </w:tbl>
    <w:p>
      <w:pPr>
        <w:spacing w:after="0" w:line="80" w:lineRule="exact"/>
      </w:pPr>
      <w:r>
        <w:rPr>
          <w:sz w:val="2"/>
        </w:rPr>
      </w:r>
    </w:p>
    <w:p>
      <w:r>
        <w:t>分工：负责人负责问题、AST、集成与主讲；动态测试负责人负责probe、隔离和案例复现；数据与报告负责人负责数据、双人审查组织、统计与材料。自动修复应放在可靠复现和功能回归之后，跨语言最后考虑。</w:t>
      </w:r>
    </w:p>
    <w:p>
      <w:pPr>
        <w:pStyle w:val="Heading1"/>
        <w:pageBreakBefore/>
      </w:pPr>
      <w:r>
        <w:t>六 证据索引与参考文献</w:t>
      </w:r>
    </w:p>
    <w:p>
      <w:r>
        <w:t>以下路径均相对项目仓库。公开统计可重建口径；完整执行日志保存在私有目录，公开材料提供统计与验证方法。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39"/>
        <w:gridCol w:w="3685"/>
      </w:tblGrid>
      <w:tr>
        <w:trPr>
          <w:tblHeader/>
        </w:trPr>
        <w:tc>
          <w:tcPr>
            <w:tcW w:type="dxa" w:w="5839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3685"/>
            <w:vAlign w:val="center"/>
            <w:shd w:fill="19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/>
                <w:color w:val="FFFFFF"/>
                <w:sz w:val="18"/>
              </w:rPr>
              <w:t>对应范围</w:t>
            </w:r>
          </w:p>
        </w:tc>
      </w:tr>
      <w:tr>
        <w:tc>
          <w:tcPr>
            <w:tcW w:type="dxa" w:w="583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results/frozen-20261022/analysis.json</w:t>
            </w:r>
          </w:p>
        </w:tc>
        <w:tc>
          <w:tcPr>
            <w:tcW w:type="dxa" w:w="3685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216次全量／207次主要比较、排除规则、用量、核验范围</w:t>
            </w:r>
          </w:p>
        </w:tc>
      </w:tr>
      <w:tr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results/benchmark-20261025/analysis.json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72次补充动态试跑、网络失败与预算</w:t>
            </w:r>
          </w:p>
        </w:tc>
      </w:tr>
      <w:tr>
        <w:tc>
          <w:tcPr>
            <w:tcW w:type="dxa" w:w="583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results/benchmark-20261025/securityeval-static.json</w:t>
            </w:r>
          </w:p>
        </w:tc>
        <w:tc>
          <w:tcPr>
            <w:tcW w:type="dxa" w:w="3685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121份外部静态诊断与来源</w:t>
            </w:r>
          </w:p>
        </w:tc>
      </w:tr>
      <w:tr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results/private/client/validation-20261025.json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真实模型工具回合、path-01配对及客户端验证摘要</w:t>
            </w:r>
          </w:p>
        </w:tc>
      </w:tr>
      <w:tr>
        <w:tc>
          <w:tcPr>
            <w:tcW w:type="dxa" w:w="583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safety_harness/；docs/客户端使用.md</w:t>
            </w:r>
          </w:p>
        </w:tc>
        <w:tc>
          <w:tcPr>
            <w:tcW w:type="dxa" w:w="3685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分析、执行、probe、Agent与使用边界</w:t>
            </w:r>
          </w:p>
        </w:tc>
      </w:tr>
      <w:tr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results/reference/summary.json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color w:val="000000"/>
                <w:sz w:val="18"/>
              </w:rPr>
              <w:t>人工参考配对测试摘要</w:t>
            </w:r>
          </w:p>
        </w:tc>
      </w:tr>
    </w:tbl>
    <w:p>
      <w:pPr>
        <w:spacing w:after="0" w:line="80" w:lineRule="exact"/>
      </w:pPr>
      <w:r>
        <w:rPr>
          <w:sz w:val="2"/>
        </w:rPr>
      </w:r>
    </w:p>
    <w:p>
      <w:r>
        <w:t>研究定位：CoverUp[1]支持“覆盖反馈辅助生成”的方法背景；[2]提醒测试可运行和覆盖率不等于缺陷发现；SecurityEval[3]用于外部数据适配；测试预言综述[4]支持独立安全判据；CODAMOSA[5]与LIBRO[6]分别用于后续生成策略和缺陷复现对照设计。当前没有在相同数据和预算下复现这些系统，不能排名比较。</w:t>
      </w:r>
    </w:p>
    <w:p>
      <w:r>
        <w:rPr>
          <w:sz w:val="18"/>
        </w:rPr>
        <w:t>[1] Pizzorno J A, Berger E D. CoverUp: Effective High Coverage Test Generation for Python. PACMSE, 2025. DOI: 10.1145/3729398. https://arxiv.org/abs/2403.16218</w:t>
      </w:r>
    </w:p>
    <w:p>
      <w:r>
        <w:rPr>
          <w:sz w:val="18"/>
        </w:rPr>
        <w:t>[2] Mathews N S, Nagappan M. Design choices made by LLM-based test generators prevent them from finding bugs. arXiv:2412.14137, 2024（预印本）. https://arxiv.org/abs/2412.14137</w:t>
      </w:r>
    </w:p>
    <w:p>
      <w:r>
        <w:rPr>
          <w:sz w:val="18"/>
        </w:rPr>
        <w:t>[3] Siddiq M L, Santos J C S. SecurityEval Dataset: Mining Vulnerability Examples to Evaluate Machine Learning-Based Code Generation Techniques. MSR4P&amp;S, 2022. DOI: 10.1145/3549035.3561184.</w:t>
      </w:r>
    </w:p>
    <w:p>
      <w:r>
        <w:rPr>
          <w:sz w:val="18"/>
        </w:rPr>
        <w:t>[4] Barr E T, Harman M, McMinn P, et al. The Oracle Problem in Software Testing: A Survey. IEEE TSE, 2015, 41(5):507–525. DOI: 10.1109/TSE.2014.2372785.</w:t>
      </w:r>
    </w:p>
    <w:p>
      <w:r>
        <w:rPr>
          <w:sz w:val="18"/>
        </w:rPr>
        <w:t>[5] Lemieux C, Inala J P, Lahiri S, Sen S. CODAMOSA: Escaping Coverage Plateaus in Test Generation with Pre-trained Large Language Models. ICSE, 2023. https://www.microsoft.com/en-us/research/publication/codamosa-escaping-coverage-plateaus-in-test-generation-with-pre-trained-large-language-models/</w:t>
      </w:r>
    </w:p>
    <w:p>
      <w:r>
        <w:rPr>
          <w:sz w:val="18"/>
        </w:rPr>
        <w:t>[6] Kang S, Yoon J, Yoo S. Large Language Models are Few-shot Testers: Exploring LLM-based General Bug Reproduction. ICSE, 2023. https://arxiv.org/abs/2209.11515</w:t>
      </w:r>
    </w:p>
    <w:p>
      <w:r>
        <w:rPr>
          <w:sz w:val="18"/>
        </w:rPr>
        <w:t>[7] PyCQA. Bandit documentation. https://bandit.readthedocs.io/（项目记录版本1.8.6）.</w:t>
      </w:r>
    </w:p>
    <w:p>
      <w:r>
        <w:rPr>
          <w:sz w:val="18"/>
        </w:rPr>
        <w:t>[8] DeepSeek-AI. DeepSeek Harness. https://github.com/deepseek-ai/deepseek-harness（项目固定提交见正文）.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2026年10月27日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北京交通大学大学生创新训练项目　中期研究报告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