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after="200"/>
        <w:jc w:val="center"/>
      </w:pPr>
      <w:r>
        <w:drawing>
          <wp:inline distT="0" distB="0" distL="0" distR="0">
            <wp:extent cx="809625"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09625" cy="952500"/>
                    </a:xfrm>
                    <a:prstGeom prst="rect">
                      <a:avLst/>
                    </a:prstGeom>
                  </pic:spPr>
                </pic:pic>
              </a:graphicData>
            </a:graphic>
          </wp:inline>
        </w:drawing>
      </w:r>
    </w:p>
    <w:p>
      <w:pPr>
        <w:spacing w:before="200" w:after="200"/>
        <w:jc w:val="center"/>
      </w:pPr>
      <w:r>
        <w:rPr>
          <w:sz w:val="30"/>
          <w:szCs w:val="30"/>
          <w:rFonts w:ascii="游ゴシック" w:eastAsia="游ゴシック" w:hAnsi="游ゴシック" w:cs="游ゴシック"/>
        </w:rPr>
        <w:t xml:space="preserve">更生保護法人 茨城県更生保護協会</w:t>
      </w:r>
    </w:p>
    <w:p>
      <w:pPr>
        <w:spacing w:after="200"/>
        <w:jc w:val="center"/>
      </w:pPr>
      <w:r>
        <w:rPr>
          <w:b/>
          <w:bCs/>
          <w:sz w:val="40"/>
          <w:szCs w:val="40"/>
          <w:rFonts w:ascii="游ゴシック" w:eastAsia="游ゴシック" w:hAnsi="游ゴシック" w:cs="游ゴシック"/>
        </w:rPr>
        <w:t xml:space="preserve">基本財産運用 検討会</w:t>
      </w:r>
    </w:p>
    <w:p>
      <w:pPr>
        <w:spacing w:after="800"/>
        <w:jc w:val="center"/>
      </w:pPr>
      <w:r>
        <w:rPr>
          <w:b/>
          <w:bCs/>
          <w:sz w:val="40"/>
          <w:szCs w:val="40"/>
          <w:rFonts w:ascii="游ゴシック" w:eastAsia="游ゴシック" w:hAnsi="游ゴシック" w:cs="游ゴシック"/>
        </w:rPr>
        <w:t xml:space="preserve">提出資料（案）</w:t>
      </w:r>
    </w:p>
    <w:p>
      <w:pPr>
        <w:spacing w:after="120"/>
        <w:jc w:val="center"/>
      </w:pPr>
      <w:r>
        <w:rPr>
          <w:sz w:val="22"/>
          <w:szCs w:val="22"/>
          <w:rFonts w:ascii="游明朝" w:eastAsia="游明朝" w:hAnsi="游明朝" w:cs="游明朝"/>
        </w:rPr>
        <w:t xml:space="preserve">令和8年（2026年）9月17日（木）又は18日（金） 11:30〜　於：景山</w:t>
      </w:r>
    </w:p>
    <w:p>
      <w:pPr>
        <w:spacing w:after="120"/>
        <w:jc w:val="center"/>
      </w:pPr>
      <w:r>
        <w:rPr>
          <w:color w:val="555555"/>
          <w:sz w:val="18"/>
          <w:szCs w:val="18"/>
          <w:rFonts w:ascii="游明朝" w:eastAsia="游明朝" w:hAnsi="游明朝" w:cs="游明朝"/>
        </w:rPr>
        <w:t xml:space="preserve">（事務局メールの曜日表記と日付が一致しないため、開催日は要確認）</w:t>
      </w:r>
    </w:p>
    <w:p>
      <w:pPr>
        <w:spacing w:before="1600" w:after="120"/>
        <w:jc w:val="center"/>
      </w:pPr>
      <w:r>
        <w:rPr>
          <w:sz w:val="22"/>
          <w:szCs w:val="22"/>
          <w:rFonts w:ascii="游明朝" w:eastAsia="游明朝" w:hAnsi="游明朝" w:cs="游明朝"/>
        </w:rPr>
        <w:t xml:space="preserve">作成日：2026年9月12日</w:t>
      </w:r>
    </w:p>
    <w:p>
      <w:pPr>
        <w:spacing w:after="120"/>
        <w:jc w:val="center"/>
      </w:pPr>
      <w:r>
        <w:rPr>
          <w:sz w:val="22"/>
          <w:szCs w:val="22"/>
          <w:rFonts w:ascii="游明朝" w:eastAsia="游明朝" w:hAnsi="游明朝" w:cs="游明朝"/>
        </w:rPr>
        <w:t xml:space="preserve">作成：理事　鈴木 孝昌</w:t>
      </w:r>
    </w:p>
    <w:p>
      <w:pPr>
        <w:spacing w:before="600"/>
        <w:jc w:val="center"/>
      </w:pPr>
      <w:r>
        <w:rPr>
          <w:color w:val="555555"/>
          <w:sz w:val="18"/>
          <w:szCs w:val="18"/>
          <w:rFonts w:ascii="游明朝" w:eastAsia="游明朝" w:hAnsi="游明朝" w:cs="游明朝"/>
        </w:rPr>
        <w:t xml:space="preserve">本資料の数値は、特記のない限り「令和8年度理事会資料（令和8年5月13日）」記載の財産目録（令和8年3月31日現在）に基づく。</w:t>
      </w:r>
    </w:p>
    <w:p>
      <w:r>
        <w:br w:type="page"/>
      </w:r>
    </w:p>
    <w:p>
      <w:pPr>
        <w:pStyle w:val="Heading1"/>
        <w:spacing w:before="280" w:after="140"/>
      </w:pPr>
      <w:r>
        <w:rPr>
          <w:b/>
          <w:bCs/>
          <w:sz w:val="28"/>
          <w:szCs w:val="28"/>
          <w:rFonts w:ascii="游ゴシック" w:eastAsia="游ゴシック" w:hAnsi="游ゴシック" w:cs="游ゴシック"/>
        </w:rPr>
        <w:t xml:space="preserve">1．結論（本検討会への提案）</w:t>
      </w:r>
    </w:p>
    <w:p>
      <w:pPr>
        <w:spacing w:after="100" w:line="300"/>
      </w:pPr>
      <w:r>
        <w:rPr>
          <w:b/>
          <w:bCs/>
          <w:sz w:val="21"/>
          <w:szCs w:val="21"/>
          <w:rFonts w:ascii="游明朝" w:eastAsia="游明朝" w:hAnsi="游明朝" w:cs="游明朝"/>
        </w:rPr>
        <w:t xml:space="preserve">提案1　</w:t>
      </w:r>
      <w:r>
        <w:rPr>
          <w:sz w:val="21"/>
          <w:szCs w:val="21"/>
          <w:rFonts w:ascii="游明朝" w:eastAsia="游明朝" w:hAnsi="游明朝" w:cs="游明朝"/>
        </w:rPr>
        <w:t xml:space="preserve">梶副理事長作成の「資金運用基本方針（案）」及び「資金運用ガイドライン（案）」（いずれも2026年8月19日付）を、本資料8節の誤記修正のうえ承認し、次回理事会に付議する。</w:t>
      </w:r>
    </w:p>
    <w:p>
      <w:pPr>
        <w:spacing w:after="100" w:line="300"/>
      </w:pPr>
      <w:r>
        <w:rPr>
          <w:b/>
          <w:bCs/>
          <w:sz w:val="21"/>
          <w:szCs w:val="21"/>
          <w:rFonts w:ascii="游明朝" w:eastAsia="游明朝" w:hAnsi="游明朝" w:cs="游明朝"/>
        </w:rPr>
        <w:t xml:space="preserve">提案2　</w:t>
      </w:r>
      <w:r>
        <w:rPr>
          <w:sz w:val="21"/>
          <w:szCs w:val="21"/>
          <w:rFonts w:ascii="游明朝" w:eastAsia="游明朝" w:hAnsi="游明朝" w:cs="游明朝"/>
        </w:rPr>
        <w:t xml:space="preserve">基本財産（175,000,000円）の目標配分を「国債等 約84%／定期預金 約16%」とし、ガイドライン（案）の目安（国債等70〜90%、定期10〜30%）の範囲内で、他県事例（群馬県協会：国債1億円・定期2千万円）と同水準とする。</w:t>
      </w:r>
    </w:p>
    <w:p>
      <w:pPr>
        <w:spacing w:after="100" w:line="300"/>
      </w:pPr>
      <w:r>
        <w:rPr>
          <w:b/>
          <w:bCs/>
          <w:sz w:val="21"/>
          <w:szCs w:val="21"/>
          <w:rFonts w:ascii="游明朝" w:eastAsia="游明朝" w:hAnsi="游明朝" w:cs="游明朝"/>
        </w:rPr>
        <w:t xml:space="preserve">提案3　</w:t>
      </w:r>
      <w:r>
        <w:rPr>
          <w:sz w:val="21"/>
          <w:szCs w:val="21"/>
          <w:rFonts w:ascii="游明朝" w:eastAsia="游明朝" w:hAnsi="游明朝" w:cs="游明朝"/>
        </w:rPr>
        <w:t xml:space="preserve">移行は、2026年12月〜2027年3月に満期を迎える定期預金4口（合計26,830,000円）を満期到来の都度、国債に振り替える方法を基本とし、中途解約は各行の中途解約利率を確認したうえで別途判断する。</w:t>
      </w:r>
    </w:p>
    <w:p>
      <w:pPr>
        <w:spacing w:after="100" w:line="300"/>
      </w:pPr>
      <w:r>
        <w:rPr>
          <w:b/>
          <w:bCs/>
          <w:sz w:val="21"/>
          <w:szCs w:val="21"/>
          <w:rFonts w:ascii="游明朝" w:eastAsia="游明朝" w:hAnsi="游明朝" w:cs="游明朝"/>
        </w:rPr>
        <w:t xml:space="preserve">提案4　</w:t>
      </w:r>
      <w:r>
        <w:rPr>
          <w:sz w:val="21"/>
          <w:szCs w:val="21"/>
          <w:rFonts w:ascii="游明朝" w:eastAsia="游明朝" w:hAnsi="游明朝" w:cs="游明朝"/>
        </w:rPr>
        <w:t xml:space="preserve">新規購入する国債は償還年限を分散させ、特定年に償還が集中する現状（2030年に基本財産の約60%が償還）を段階的に是正する。</w:t>
      </w:r>
    </w:p>
    <w:p>
      <w:pPr>
        <w:spacing w:after="100" w:line="300"/>
      </w:pPr>
      <w:r>
        <w:rPr>
          <w:b/>
          <w:bCs/>
          <w:sz w:val="21"/>
          <w:szCs w:val="21"/>
          <w:rFonts w:ascii="游明朝" w:eastAsia="游明朝" w:hAnsi="游明朝" w:cs="游明朝"/>
        </w:rPr>
        <w:t xml:space="preserve">提案5　</w:t>
      </w:r>
      <w:r>
        <w:rPr>
          <w:sz w:val="21"/>
          <w:szCs w:val="21"/>
          <w:rFonts w:ascii="游明朝" w:eastAsia="游明朝" w:hAnsi="游明朝" w:cs="游明朝"/>
        </w:rPr>
        <w:t xml:space="preserve">運用先は、ガイドライン（案）第8条に従い、野村證券・常陽銀行・茨城県信用組合・めぶき証券等の複数金融機関から条件提示を受けて比較し、選定記録を残す。</w:t>
      </w:r>
    </w:p>
    <w:p>
      <w:pPr>
        <w:spacing w:after="100" w:line="300"/>
      </w:pPr>
      <w:r>
        <w:rPr>
          <w:b/>
          <w:bCs/>
          <w:sz w:val="21"/>
          <w:szCs w:val="21"/>
          <w:rFonts w:ascii="游明朝" w:eastAsia="游明朝" w:hAnsi="游明朝" w:cs="游明朝"/>
        </w:rPr>
        <w:t xml:space="preserve">提案6　</w:t>
      </w:r>
      <w:r>
        <w:rPr>
          <w:sz w:val="21"/>
          <w:szCs w:val="21"/>
          <w:rFonts w:ascii="游明朝" w:eastAsia="游明朝" w:hAnsi="游明朝" w:cs="游明朝"/>
        </w:rPr>
        <w:t xml:space="preserve">基本財産の構成変更が定款の変更に当たる場合は、理事会・評議員会の議決を経て、関東地方更生保護委員会へ定款変更の認可申請を行う（同委員会の回答に沿い、申請書の変更理由欄に中途解約利率等を加味した比較結果を記載する）。</w:t>
      </w:r>
    </w:p>
    <w:p>
      <w:pPr>
        <w:pStyle w:val="Heading2"/>
        <w:spacing w:before="200" w:after="100"/>
      </w:pPr>
      <w:r>
        <w:rPr>
          <w:b/>
          <w:bCs/>
          <w:sz w:val="23"/>
          <w:szCs w:val="23"/>
          <w:rFonts w:ascii="游ゴシック" w:eastAsia="游ゴシック" w:hAnsi="游ゴシック" w:cs="游ゴシック"/>
        </w:rPr>
        <w:t xml:space="preserve">提案の理由（要点）</w:t>
      </w:r>
    </w:p>
    <w:p>
      <w:pPr>
        <w:pStyle w:val="ListParagraph"/>
        <w:numPr>
          <w:ilvl w:val="0"/>
          <w:numId w:val="2"/>
        </w:numPr>
        <w:spacing w:after="60" w:line="290"/>
      </w:pPr>
      <w:r>
        <w:rPr>
          <w:sz w:val="21"/>
          <w:szCs w:val="21"/>
          <w:rFonts w:ascii="游明朝" w:eastAsia="游明朝" w:hAnsi="游明朝" w:cs="游明朝"/>
        </w:rPr>
        <w:t xml:space="preserve">現在の基本財産の平均利回りは約0.87%（国債部分1.14%、定期部分0.28%）であり、定期預金55,250,000円が実質的に収益を生んでいない。</w:t>
      </w:r>
    </w:p>
    <w:p>
      <w:pPr>
        <w:pStyle w:val="ListParagraph"/>
        <w:numPr>
          <w:ilvl w:val="0"/>
          <w:numId w:val="2"/>
        </w:numPr>
        <w:spacing w:after="60" w:line="290"/>
      </w:pPr>
      <w:r>
        <w:rPr>
          <w:sz w:val="21"/>
          <w:szCs w:val="21"/>
          <w:rFonts w:ascii="游明朝" w:eastAsia="游明朝" w:hAnsi="游明朝" w:cs="游明朝"/>
        </w:rPr>
        <w:t xml:space="preserve">2026年9月時点の国債利回りは2年1.82%、5年2.22%、10年2.98%（2026年9月10日、二次情報）であり、定期預金の店頭金利（常陽銀行スーパー定期 0.35〜0.50%、二次情報）を大きく上回る。</w:t>
      </w:r>
    </w:p>
    <w:p>
      <w:pPr>
        <w:pStyle w:val="ListParagraph"/>
        <w:numPr>
          <w:ilvl w:val="0"/>
          <w:numId w:val="2"/>
        </w:numPr>
        <w:spacing w:after="60" w:line="290"/>
      </w:pPr>
      <w:r>
        <w:rPr>
          <w:sz w:val="21"/>
          <w:szCs w:val="21"/>
          <w:rFonts w:ascii="游明朝" w:eastAsia="游明朝" w:hAnsi="游明朝" w:cs="游明朝"/>
        </w:rPr>
        <w:t xml:space="preserve">関東地方更生保護委員会は「許容割合の定めはない」「基本財産を100%国債に切り替えた法人の前例がある」と回答しており、制度上の制約は確認されていない。</w:t>
      </w:r>
    </w:p>
    <w:p>
      <w:pPr>
        <w:pStyle w:val="ListParagraph"/>
        <w:numPr>
          <w:ilvl w:val="0"/>
          <w:numId w:val="2"/>
        </w:numPr>
        <w:spacing w:after="60" w:line="290"/>
      </w:pPr>
      <w:r>
        <w:rPr>
          <w:sz w:val="21"/>
          <w:szCs w:val="21"/>
          <w:rFonts w:ascii="游明朝" w:eastAsia="游明朝" w:hAnsi="游明朝" w:cs="游明朝"/>
        </w:rPr>
        <w:t xml:space="preserve">ガイドライン（案）は定期預金を「流動性確保・再投資余力」の資産と位置付けており、一定の定期預金を残す方が案文と整合する。</w:t>
      </w:r>
    </w:p>
    <w:p>
      <w:pPr>
        <w:pStyle w:val="Heading2"/>
        <w:spacing w:before="200" w:after="100"/>
      </w:pPr>
      <w:r>
        <w:rPr>
          <w:b/>
          <w:bCs/>
          <w:sz w:val="23"/>
          <w:szCs w:val="23"/>
          <w:rFonts w:ascii="游ゴシック" w:eastAsia="游ゴシック" w:hAnsi="游ゴシック" w:cs="游ゴシック"/>
        </w:rPr>
        <w:t xml:space="preserve">提案の数字（要点）</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1500"/>
        <w:gridCol w:w="1500"/>
        <w:gridCol w:w="1700"/>
        <w:gridCol w:w="1800"/>
        <w:gridCol w:w="1738"/>
      </w:tblGrid>
      <w:tr>
        <w:trPr>
          <w:tblHeader/>
        </w:trPr>
        <w:tc>
          <w:tcPr>
            <w:tcW w:type="dxa" w:w="14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案</w:t>
            </w:r>
          </w:p>
        </w:tc>
        <w:tc>
          <w:tcPr>
            <w:tcW w:type="dxa" w:w="15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国債等比率</w:t>
            </w:r>
          </w:p>
        </w:tc>
        <w:tc>
          <w:tcPr>
            <w:tcW w:type="dxa" w:w="15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国債等残高</w:t>
            </w:r>
          </w:p>
        </w:tc>
        <w:tc>
          <w:tcPr>
            <w:tcW w:type="dxa" w:w="17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定期→国債 移行額</w:t>
            </w:r>
          </w:p>
        </w:tc>
        <w:tc>
          <w:tcPr>
            <w:tcW w:type="dxa" w:w="18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年間利息見込み</w:t>
            </w:r>
          </w:p>
          <w:p>
            <w:pPr>
              <w:spacing w:after="0" w:line="260"/>
              <w:jc w:val="center"/>
            </w:pPr>
            <w:r>
              <w:rPr>
                <w:b/>
                <w:bCs/>
                <w:sz w:val="17"/>
                <w:szCs w:val="17"/>
                <w:rFonts w:ascii="游ゴシック" w:eastAsia="游ゴシック" w:hAnsi="游ゴシック" w:cs="游ゴシック"/>
              </w:rPr>
              <w:t xml:space="preserve">（税引前・概算）</w:t>
            </w:r>
          </w:p>
        </w:tc>
        <w:tc>
          <w:tcPr>
            <w:tcW w:type="dxa" w:w="1738"/>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基本財産</w:t>
            </w:r>
          </w:p>
          <w:p>
            <w:pPr>
              <w:spacing w:after="0" w:line="260"/>
              <w:jc w:val="center"/>
            </w:pPr>
            <w:r>
              <w:rPr>
                <w:b/>
                <w:bCs/>
                <w:sz w:val="17"/>
                <w:szCs w:val="17"/>
                <w:rFonts w:ascii="游ゴシック" w:eastAsia="游ゴシック" w:hAnsi="游ゴシック" w:cs="游ゴシック"/>
              </w:rPr>
              <w:t xml:space="preserve">平均利回り</w:t>
            </w:r>
          </w:p>
        </w:tc>
      </w:tr>
      <w:tr>
        <w:trPr>
          <w:tblHeader w:val="false"/>
        </w:trPr>
        <w:tc>
          <w:tcPr>
            <w:tcW w:type="dxa" w:w="1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A　現状維持</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68.4%</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119,750,000</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0</w:t>
            </w:r>
          </w:p>
        </w:tc>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1,531,250</w:t>
            </w:r>
          </w:p>
        </w:tc>
        <w:tc>
          <w:tcPr>
            <w:tcW w:type="dxa" w:w="17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0.88%</w:t>
            </w:r>
          </w:p>
        </w:tc>
      </w:tr>
      <w:tr>
        <w:trPr>
          <w:tblHeader w:val="false"/>
        </w:trPr>
        <w:tc>
          <w:tcPr>
            <w:tcW w:type="dxa" w:w="1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B　ガイドライン案の下限（70%）</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70.0%</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122,500,000</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2,750,000</w:t>
            </w:r>
          </w:p>
        </w:tc>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1,583,500</w:t>
            </w:r>
          </w:p>
        </w:tc>
        <w:tc>
          <w:tcPr>
            <w:tcW w:type="dxa" w:w="17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0.90%</w:t>
            </w:r>
          </w:p>
        </w:tc>
      </w:tr>
      <w:tr>
        <w:trPr>
          <w:tblHeader w:val="false"/>
        </w:trPr>
        <w:tc>
          <w:tcPr>
            <w:tcW w:type="dxa" w:w="1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C　80%</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80.0%</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140,000,000</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20,250,000</w:t>
            </w:r>
          </w:p>
        </w:tc>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1,916,000</w:t>
            </w:r>
          </w:p>
        </w:tc>
        <w:tc>
          <w:tcPr>
            <w:tcW w:type="dxa" w:w="17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1.09%</w:t>
            </w:r>
          </w:p>
        </w:tc>
      </w:tr>
      <w:tr>
        <w:trPr>
          <w:tblHeader w:val="false"/>
        </w:trPr>
        <w:tc>
          <w:tcPr>
            <w:tcW w:type="dxa" w:w="14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left"/>
            </w:pPr>
            <w:r>
              <w:rPr>
                <w:b/>
                <w:bCs/>
                <w:sz w:val="17"/>
                <w:szCs w:val="17"/>
                <w:rFonts w:ascii="游明朝" w:eastAsia="游明朝" w:hAnsi="游明朝" w:cs="游明朝"/>
              </w:rPr>
              <w:t xml:space="preserve">D　満期到来分を順次移行（約84%）</w:t>
            </w:r>
          </w:p>
        </w:tc>
        <w:tc>
          <w:tcPr>
            <w:tcW w:type="dxa" w:w="15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right"/>
            </w:pPr>
            <w:r>
              <w:rPr>
                <w:b/>
                <w:bCs/>
                <w:sz w:val="17"/>
                <w:szCs w:val="17"/>
                <w:rFonts w:ascii="游明朝" w:eastAsia="游明朝" w:hAnsi="游明朝" w:cs="游明朝"/>
              </w:rPr>
              <w:t xml:space="preserve">83.8%</w:t>
            </w:r>
          </w:p>
        </w:tc>
        <w:tc>
          <w:tcPr>
            <w:tcW w:type="dxa" w:w="15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right"/>
            </w:pPr>
            <w:r>
              <w:rPr>
                <w:b/>
                <w:bCs/>
                <w:sz w:val="17"/>
                <w:szCs w:val="17"/>
                <w:rFonts w:ascii="游明朝" w:eastAsia="游明朝" w:hAnsi="游明朝" w:cs="游明朝"/>
              </w:rPr>
              <w:t xml:space="preserve">146,580,000</w:t>
            </w:r>
          </w:p>
        </w:tc>
        <w:tc>
          <w:tcPr>
            <w:tcW w:type="dxa" w:w="17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right"/>
            </w:pPr>
            <w:r>
              <w:rPr>
                <w:b/>
                <w:bCs/>
                <w:sz w:val="17"/>
                <w:szCs w:val="17"/>
                <w:rFonts w:ascii="游明朝" w:eastAsia="游明朝" w:hAnsi="游明朝" w:cs="游明朝"/>
              </w:rPr>
              <w:t xml:space="preserve">26,830,000</w:t>
            </w:r>
          </w:p>
        </w:tc>
        <w:tc>
          <w:tcPr>
            <w:tcW w:type="dxa" w:w="18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right"/>
            </w:pPr>
            <w:r>
              <w:rPr>
                <w:b/>
                <w:bCs/>
                <w:sz w:val="17"/>
                <w:szCs w:val="17"/>
                <w:rFonts w:ascii="游明朝" w:eastAsia="游明朝" w:hAnsi="游明朝" w:cs="游明朝"/>
              </w:rPr>
              <w:t xml:space="preserve">2,041,020</w:t>
            </w:r>
          </w:p>
        </w:tc>
        <w:tc>
          <w:tcPr>
            <w:tcW w:type="dxa" w:w="1738"/>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right"/>
            </w:pPr>
            <w:r>
              <w:rPr>
                <w:b/>
                <w:bCs/>
                <w:sz w:val="17"/>
                <w:szCs w:val="17"/>
                <w:rFonts w:ascii="游明朝" w:eastAsia="游明朝" w:hAnsi="游明朝" w:cs="游明朝"/>
              </w:rPr>
              <w:t xml:space="preserve">1.17%</w:t>
            </w:r>
          </w:p>
        </w:tc>
      </w:tr>
      <w:tr>
        <w:trPr>
          <w:tblHeader w:val="false"/>
        </w:trPr>
        <w:tc>
          <w:tcPr>
            <w:tcW w:type="dxa" w:w="1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E　ガイドライン案の上限（90%）</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90.0%</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157,500,000</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37,750,000</w:t>
            </w:r>
          </w:p>
        </w:tc>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2,248,500</w:t>
            </w:r>
          </w:p>
        </w:tc>
        <w:tc>
          <w:tcPr>
            <w:tcW w:type="dxa" w:w="17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1.28%</w:t>
            </w:r>
          </w:p>
        </w:tc>
      </w:tr>
      <w:tr>
        <w:trPr>
          <w:tblHeader w:val="false"/>
        </w:trPr>
        <w:tc>
          <w:tcPr>
            <w:tcW w:type="dxa" w:w="1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F　100% 国債（栃木県協会型）</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100.0%</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175,000,000</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55,250,000</w:t>
            </w:r>
          </w:p>
        </w:tc>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2,581,000</w:t>
            </w:r>
          </w:p>
        </w:tc>
        <w:tc>
          <w:tcPr>
            <w:tcW w:type="dxa" w:w="17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1.47%</w:t>
            </w:r>
          </w:p>
        </w:tc>
      </w:tr>
    </w:tbl>
    <w:p>
      <w:r>
        <w:br w:type="page"/>
      </w:r>
    </w:p>
    <w:p>
      <w:pPr>
        <w:pStyle w:val="Heading1"/>
        <w:spacing w:before="280" w:after="140"/>
      </w:pPr>
      <w:r>
        <w:rPr>
          <w:b/>
          <w:bCs/>
          <w:sz w:val="28"/>
          <w:szCs w:val="28"/>
          <w:rFonts w:ascii="游ゴシック" w:eastAsia="游ゴシック" w:hAnsi="游ゴシック" w:cs="游ゴシック"/>
        </w:rPr>
        <w:t xml:space="preserve">2．現状（令和8年3月31日現在）</w:t>
      </w:r>
    </w:p>
    <w:p>
      <w:pPr>
        <w:pStyle w:val="Heading2"/>
        <w:spacing w:before="200" w:after="100"/>
      </w:pPr>
      <w:r>
        <w:rPr>
          <w:b/>
          <w:bCs/>
          <w:sz w:val="23"/>
          <w:szCs w:val="23"/>
          <w:rFonts w:ascii="游ゴシック" w:eastAsia="游ゴシック" w:hAnsi="游ゴシック" w:cs="游ゴシック"/>
        </w:rPr>
        <w:t xml:space="preserve">2-1．財産の概要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2400"/>
        <w:gridCol w:w="4038"/>
      </w:tblGrid>
      <w:tr>
        <w:trPr>
          <w:tblHeader/>
        </w:trPr>
        <w:tc>
          <w:tcPr>
            <w:tcW w:type="dxa" w:w="32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8"/>
                <w:szCs w:val="18"/>
                <w:rFonts w:ascii="游ゴシック" w:eastAsia="游ゴシック" w:hAnsi="游ゴシック" w:cs="游ゴシック"/>
              </w:rPr>
              <w:t xml:space="preserve">区分</w:t>
            </w:r>
          </w:p>
        </w:tc>
        <w:tc>
          <w:tcPr>
            <w:tcW w:type="dxa" w:w="24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8"/>
                <w:szCs w:val="18"/>
                <w:rFonts w:ascii="游ゴシック" w:eastAsia="游ゴシック" w:hAnsi="游ゴシック" w:cs="游ゴシック"/>
              </w:rPr>
              <w:t xml:space="preserve">金額（円）</w:t>
            </w:r>
          </w:p>
        </w:tc>
        <w:tc>
          <w:tcPr>
            <w:tcW w:type="dxa" w:w="4038"/>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8"/>
                <w:szCs w:val="18"/>
                <w:rFonts w:ascii="游ゴシック" w:eastAsia="游ゴシック" w:hAnsi="游ゴシック" w:cs="游ゴシック"/>
              </w:rPr>
              <w:t xml:space="preserve">備考</w:t>
            </w:r>
          </w:p>
        </w:tc>
      </w:tr>
      <w:tr>
        <w:trPr>
          <w:tblHeader w:val="false"/>
        </w:trPr>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基本財産　有価証券（国債）</w:t>
            </w:r>
          </w:p>
        </w:tc>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8"/>
                <w:szCs w:val="18"/>
                <w:rFonts w:ascii="游明朝" w:eastAsia="游明朝" w:hAnsi="游明朝" w:cs="游明朝"/>
              </w:rPr>
              <w:t xml:space="preserve">119,750,000</w:t>
            </w:r>
          </w:p>
        </w:tc>
        <w:tc>
          <w:tcPr>
            <w:tcW w:type="dxa" w:w="40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野村證券 84,500,000／常陽銀行 35,250,000</w:t>
            </w:r>
          </w:p>
        </w:tc>
      </w:tr>
      <w:tr>
        <w:trPr>
          <w:tblHeader w:val="false"/>
        </w:trPr>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基本財産　定期預金</w:t>
            </w:r>
          </w:p>
        </w:tc>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8"/>
                <w:szCs w:val="18"/>
                <w:rFonts w:ascii="游明朝" w:eastAsia="游明朝" w:hAnsi="游明朝" w:cs="游明朝"/>
              </w:rPr>
              <w:t xml:space="preserve">55,250,000</w:t>
            </w:r>
          </w:p>
        </w:tc>
        <w:tc>
          <w:tcPr>
            <w:tcW w:type="dxa" w:w="40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茨城県信用組合 26,920,000／常陽銀行 28,330,000</w:t>
            </w:r>
          </w:p>
        </w:tc>
      </w:tr>
      <w:tr>
        <w:trPr>
          <w:tblHeader w:val="false"/>
        </w:trPr>
        <w:tc>
          <w:tcPr>
            <w:tcW w:type="dxa" w:w="32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left"/>
            </w:pPr>
            <w:r>
              <w:rPr>
                <w:b/>
                <w:bCs/>
                <w:sz w:val="18"/>
                <w:szCs w:val="18"/>
                <w:rFonts w:ascii="游明朝" w:eastAsia="游明朝" w:hAnsi="游明朝" w:cs="游明朝"/>
              </w:rPr>
              <w:t xml:space="preserve">基本財産　計</w:t>
            </w:r>
          </w:p>
        </w:tc>
        <w:tc>
          <w:tcPr>
            <w:tcW w:type="dxa" w:w="24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right"/>
            </w:pPr>
            <w:r>
              <w:rPr>
                <w:b/>
                <w:bCs/>
                <w:sz w:val="18"/>
                <w:szCs w:val="18"/>
                <w:rFonts w:ascii="游明朝" w:eastAsia="游明朝" w:hAnsi="游明朝" w:cs="游明朝"/>
              </w:rPr>
              <w:t xml:space="preserve">175,000,000</w:t>
            </w:r>
          </w:p>
        </w:tc>
        <w:tc>
          <w:tcPr>
            <w:tcW w:type="dxa" w:w="4038"/>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left"/>
            </w:pPr>
            <w:r>
              <w:rPr>
                <w:b/>
                <w:bCs/>
                <w:sz w:val="18"/>
                <w:szCs w:val="18"/>
                <w:rFonts w:ascii="游明朝" w:eastAsia="游明朝" w:hAnsi="游明朝" w:cs="游明朝"/>
              </w:rPr>
              <w:t xml:space="preserve">国債 68.4%／定期 31.6%</w:t>
            </w:r>
          </w:p>
        </w:tc>
      </w:tr>
      <w:tr>
        <w:trPr>
          <w:tblHeader w:val="false"/>
        </w:trPr>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通常財産　投資信託</w:t>
            </w:r>
          </w:p>
        </w:tc>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8"/>
                <w:szCs w:val="18"/>
                <w:rFonts w:ascii="游明朝" w:eastAsia="游明朝" w:hAnsi="游明朝" w:cs="游明朝"/>
              </w:rPr>
              <w:t xml:space="preserve">10,000,000</w:t>
            </w:r>
          </w:p>
        </w:tc>
        <w:tc>
          <w:tcPr>
            <w:tcW w:type="dxa" w:w="40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めぶき証券 MUFGウェルスインサイト・ファンド（帳簿価額。評価額は要確認）</w:t>
            </w:r>
          </w:p>
        </w:tc>
      </w:tr>
      <w:tr>
        <w:trPr>
          <w:tblHeader w:val="false"/>
        </w:trPr>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通常財産　預金・現金等</w:t>
            </w:r>
          </w:p>
        </w:tc>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8"/>
                <w:szCs w:val="18"/>
                <w:rFonts w:ascii="游明朝" w:eastAsia="游明朝" w:hAnsi="游明朝" w:cs="游明朝"/>
              </w:rPr>
              <w:t xml:space="preserve">7,930,456</w:t>
            </w:r>
          </w:p>
        </w:tc>
        <w:tc>
          <w:tcPr>
            <w:tcW w:type="dxa" w:w="40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寄附金口座 3,300,000、基本財産繰入準備金 1,945,467、退職給与積立 1,650,000 ほか</w:t>
            </w:r>
          </w:p>
        </w:tc>
      </w:tr>
      <w:tr>
        <w:trPr>
          <w:tblHeader w:val="false"/>
        </w:trPr>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資産総額</w:t>
            </w:r>
          </w:p>
        </w:tc>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8"/>
                <w:szCs w:val="18"/>
                <w:rFonts w:ascii="游明朝" w:eastAsia="游明朝" w:hAnsi="游明朝" w:cs="游明朝"/>
              </w:rPr>
              <w:t xml:space="preserve">192,930,456</w:t>
            </w:r>
          </w:p>
        </w:tc>
        <w:tc>
          <w:tcPr>
            <w:tcW w:type="dxa" w:w="40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r>
          </w:p>
        </w:tc>
      </w:tr>
      <w:tr>
        <w:trPr>
          <w:tblHeader w:val="false"/>
        </w:trPr>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負債</w:t>
            </w:r>
          </w:p>
        </w:tc>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8"/>
                <w:szCs w:val="18"/>
                <w:rFonts w:ascii="游明朝" w:eastAsia="游明朝" w:hAnsi="游明朝" w:cs="游明朝"/>
              </w:rPr>
              <w:t xml:space="preserve">1,662,122</w:t>
            </w:r>
          </w:p>
        </w:tc>
        <w:tc>
          <w:tcPr>
            <w:tcW w:type="dxa" w:w="40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退職給与引当金 1,650,000、未払金 12,122</w:t>
            </w:r>
          </w:p>
        </w:tc>
      </w:tr>
      <w:tr>
        <w:trPr>
          <w:tblHeader w:val="false"/>
        </w:trPr>
        <w:tc>
          <w:tcPr>
            <w:tcW w:type="dxa" w:w="32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left"/>
            </w:pPr>
            <w:r>
              <w:rPr>
                <w:b/>
                <w:bCs/>
                <w:sz w:val="18"/>
                <w:szCs w:val="18"/>
                <w:rFonts w:ascii="游明朝" w:eastAsia="游明朝" w:hAnsi="游明朝" w:cs="游明朝"/>
              </w:rPr>
              <w:t xml:space="preserve">正味財産</w:t>
            </w:r>
          </w:p>
        </w:tc>
        <w:tc>
          <w:tcPr>
            <w:tcW w:type="dxa" w:w="24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right"/>
            </w:pPr>
            <w:r>
              <w:rPr>
                <w:b/>
                <w:bCs/>
                <w:sz w:val="18"/>
                <w:szCs w:val="18"/>
                <w:rFonts w:ascii="游明朝" w:eastAsia="游明朝" w:hAnsi="游明朝" w:cs="游明朝"/>
              </w:rPr>
              <w:t xml:space="preserve">191,268,334</w:t>
            </w:r>
          </w:p>
        </w:tc>
        <w:tc>
          <w:tcPr>
            <w:tcW w:type="dxa" w:w="4038"/>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left"/>
            </w:pPr>
            <w:r>
              <w:rPr>
                <w:b/>
                <w:bCs/>
                <w:sz w:val="18"/>
                <w:szCs w:val="18"/>
                <w:rFonts w:ascii="游明朝" w:eastAsia="游明朝" w:hAnsi="游明朝" w:cs="游明朝"/>
              </w:rPr>
            </w:r>
          </w:p>
        </w:tc>
      </w:tr>
    </w:tbl>
    <w:p>
      <w:pPr>
        <w:pStyle w:val="Heading2"/>
        <w:spacing w:before="200" w:after="100"/>
      </w:pPr>
      <w:r>
        <w:rPr>
          <w:b/>
          <w:bCs/>
          <w:sz w:val="23"/>
          <w:szCs w:val="23"/>
          <w:rFonts w:ascii="游ゴシック" w:eastAsia="游ゴシック" w:hAnsi="游ゴシック" w:cs="游ゴシック"/>
        </w:rPr>
        <w:t xml:space="preserve">2-2．基本財産の内訳（国債）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000"/>
        <w:gridCol w:w="1000"/>
        <w:gridCol w:w="1500"/>
        <w:gridCol w:w="1638"/>
        <w:gridCol w:w="1300"/>
      </w:tblGrid>
      <w:tr>
        <w:trPr>
          <w:tblHeader/>
        </w:trPr>
        <w:tc>
          <w:tcPr>
            <w:tcW w:type="dxa" w:w="22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保管先</w:t>
            </w:r>
          </w:p>
        </w:tc>
        <w:tc>
          <w:tcPr>
            <w:tcW w:type="dxa" w:w="20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銘柄</w:t>
            </w:r>
          </w:p>
        </w:tc>
        <w:tc>
          <w:tcPr>
            <w:tcW w:type="dxa" w:w="10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利率</w:t>
            </w:r>
          </w:p>
        </w:tc>
        <w:tc>
          <w:tcPr>
            <w:tcW w:type="dxa" w:w="15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償還日</w:t>
            </w:r>
          </w:p>
        </w:tc>
        <w:tc>
          <w:tcPr>
            <w:tcW w:type="dxa" w:w="1638"/>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額面（円）</w:t>
            </w:r>
          </w:p>
        </w:tc>
        <w:tc>
          <w:tcPr>
            <w:tcW w:type="dxa" w:w="13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年間利息（円）</w:t>
            </w:r>
          </w:p>
        </w:tc>
      </w:tr>
      <w:tr>
        <w:trPr>
          <w:tblHeader w:val="false"/>
        </w:trPr>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野村證券 水戸支店</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利付国債 第469回</w:t>
            </w:r>
          </w:p>
        </w:tc>
        <w:tc>
          <w:tcPr>
            <w:tcW w:type="dxa" w:w="1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0.7%</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2027.2.1</w:t>
            </w:r>
          </w:p>
        </w:tc>
        <w:tc>
          <w:tcPr>
            <w:tcW w:type="dxa" w:w="1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10,000,000</w:t>
            </w:r>
          </w:p>
        </w:tc>
        <w:tc>
          <w:tcPr>
            <w:tcW w:type="dxa" w:w="13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70,000</w:t>
            </w:r>
          </w:p>
        </w:tc>
      </w:tr>
      <w:tr>
        <w:trPr>
          <w:tblHeader w:val="false"/>
        </w:trPr>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野村證券 水戸支店</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利付国債 第346回</w:t>
            </w:r>
          </w:p>
        </w:tc>
        <w:tc>
          <w:tcPr>
            <w:tcW w:type="dxa" w:w="1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0.1%</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2027.3.20</w:t>
            </w:r>
          </w:p>
        </w:tc>
        <w:tc>
          <w:tcPr>
            <w:tcW w:type="dxa" w:w="1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10,000,000</w:t>
            </w:r>
          </w:p>
        </w:tc>
        <w:tc>
          <w:tcPr>
            <w:tcW w:type="dxa" w:w="13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10,000</w:t>
            </w:r>
          </w:p>
        </w:tc>
      </w:tr>
      <w:tr>
        <w:trPr>
          <w:tblHeader w:val="false"/>
        </w:trPr>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野村證券 水戸支店</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利付国債 第179回</w:t>
            </w:r>
          </w:p>
        </w:tc>
        <w:tc>
          <w:tcPr>
            <w:tcW w:type="dxa" w:w="1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1.0%</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2030.6.20</w:t>
            </w:r>
          </w:p>
        </w:tc>
        <w:tc>
          <w:tcPr>
            <w:tcW w:type="dxa" w:w="1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40,000,000</w:t>
            </w:r>
          </w:p>
        </w:tc>
        <w:tc>
          <w:tcPr>
            <w:tcW w:type="dxa" w:w="13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400,000</w:t>
            </w:r>
          </w:p>
        </w:tc>
      </w:tr>
      <w:tr>
        <w:trPr>
          <w:tblHeader w:val="false"/>
        </w:trPr>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野村證券 水戸支店</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利付国債 第183回</w:t>
            </w:r>
          </w:p>
        </w:tc>
        <w:tc>
          <w:tcPr>
            <w:tcW w:type="dxa" w:w="1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1.6%</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2030.12.20</w:t>
            </w:r>
          </w:p>
        </w:tc>
        <w:tc>
          <w:tcPr>
            <w:tcW w:type="dxa" w:w="1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24,500,000</w:t>
            </w:r>
          </w:p>
        </w:tc>
        <w:tc>
          <w:tcPr>
            <w:tcW w:type="dxa" w:w="13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392,000</w:t>
            </w:r>
          </w:p>
        </w:tc>
      </w:tr>
      <w:tr>
        <w:trPr>
          <w:tblHeader w:val="false"/>
        </w:trPr>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常陽銀行 本店</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利付国債 第182回</w:t>
            </w:r>
          </w:p>
        </w:tc>
        <w:tc>
          <w:tcPr>
            <w:tcW w:type="dxa" w:w="1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1.4%</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2030.9.20</w:t>
            </w:r>
          </w:p>
        </w:tc>
        <w:tc>
          <w:tcPr>
            <w:tcW w:type="dxa" w:w="1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35,250,000</w:t>
            </w:r>
          </w:p>
        </w:tc>
        <w:tc>
          <w:tcPr>
            <w:tcW w:type="dxa" w:w="13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493,500</w:t>
            </w:r>
          </w:p>
        </w:tc>
      </w:tr>
      <w:tr>
        <w:trPr>
          <w:tblHeader w:val="false"/>
        </w:trPr>
        <w:tc>
          <w:tcPr>
            <w:tcW w:type="dxa" w:w="22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left"/>
            </w:pPr>
            <w:r>
              <w:rPr>
                <w:b/>
                <w:bCs/>
                <w:sz w:val="17"/>
                <w:szCs w:val="17"/>
                <w:rFonts w:ascii="游明朝" w:eastAsia="游明朝" w:hAnsi="游明朝" w:cs="游明朝"/>
              </w:rPr>
              <w:t xml:space="preserve">計</w:t>
            </w:r>
          </w:p>
        </w:tc>
        <w:tc>
          <w:tcPr>
            <w:tcW w:type="dxa" w:w="20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left"/>
            </w:pPr>
            <w:r>
              <w:rPr>
                <w:b/>
                <w:bCs/>
                <w:sz w:val="17"/>
                <w:szCs w:val="17"/>
                <w:rFonts w:ascii="游明朝" w:eastAsia="游明朝" w:hAnsi="游明朝" w:cs="游明朝"/>
              </w:rPr>
            </w:r>
          </w:p>
        </w:tc>
        <w:tc>
          <w:tcPr>
            <w:tcW w:type="dxa" w:w="10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center"/>
            </w:pPr>
            <w:r>
              <w:rPr>
                <w:b/>
                <w:bCs/>
                <w:sz w:val="17"/>
                <w:szCs w:val="17"/>
                <w:rFonts w:ascii="游明朝" w:eastAsia="游明朝" w:hAnsi="游明朝" w:cs="游明朝"/>
              </w:rPr>
              <w:t xml:space="preserve">加重平均 1.14%</w:t>
            </w:r>
          </w:p>
        </w:tc>
        <w:tc>
          <w:tcPr>
            <w:tcW w:type="dxa" w:w="15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center"/>
            </w:pPr>
            <w:r>
              <w:rPr>
                <w:b/>
                <w:bCs/>
                <w:sz w:val="17"/>
                <w:szCs w:val="17"/>
                <w:rFonts w:ascii="游明朝" w:eastAsia="游明朝" w:hAnsi="游明朝" w:cs="游明朝"/>
              </w:rPr>
            </w:r>
          </w:p>
        </w:tc>
        <w:tc>
          <w:tcPr>
            <w:tcW w:type="dxa" w:w="1638"/>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right"/>
            </w:pPr>
            <w:r>
              <w:rPr>
                <w:b/>
                <w:bCs/>
                <w:sz w:val="17"/>
                <w:szCs w:val="17"/>
                <w:rFonts w:ascii="游明朝" w:eastAsia="游明朝" w:hAnsi="游明朝" w:cs="游明朝"/>
              </w:rPr>
              <w:t xml:space="preserve">119,750,000</w:t>
            </w:r>
          </w:p>
        </w:tc>
        <w:tc>
          <w:tcPr>
            <w:tcW w:type="dxa" w:w="13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right"/>
            </w:pPr>
            <w:r>
              <w:rPr>
                <w:b/>
                <w:bCs/>
                <w:sz w:val="17"/>
                <w:szCs w:val="17"/>
                <w:rFonts w:ascii="游明朝" w:eastAsia="游明朝" w:hAnsi="游明朝" w:cs="游明朝"/>
              </w:rPr>
              <w:t xml:space="preserve">1,365,500</w:t>
            </w:r>
          </w:p>
        </w:tc>
      </w:tr>
    </w:tbl>
    <w:p>
      <w:pPr>
        <w:pStyle w:val="Heading2"/>
        <w:spacing w:before="200" w:after="100"/>
      </w:pPr>
      <w:r>
        <w:rPr>
          <w:b/>
          <w:bCs/>
          <w:sz w:val="23"/>
          <w:szCs w:val="23"/>
          <w:rFonts w:ascii="游ゴシック" w:eastAsia="游ゴシック" w:hAnsi="游ゴシック" w:cs="游ゴシック"/>
        </w:rPr>
        <w:t xml:space="preserve">2-3．基本財産の内訳（定期預金）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400"/>
        <w:gridCol w:w="900"/>
        <w:gridCol w:w="2500"/>
        <w:gridCol w:w="1638"/>
      </w:tblGrid>
      <w:tr>
        <w:trPr>
          <w:tblHeader/>
        </w:trPr>
        <w:tc>
          <w:tcPr>
            <w:tcW w:type="dxa" w:w="22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預入先</w:t>
            </w:r>
          </w:p>
        </w:tc>
        <w:tc>
          <w:tcPr>
            <w:tcW w:type="dxa" w:w="24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種類</w:t>
            </w:r>
          </w:p>
        </w:tc>
        <w:tc>
          <w:tcPr>
            <w:tcW w:type="dxa" w:w="9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利率</w:t>
            </w:r>
          </w:p>
        </w:tc>
        <w:tc>
          <w:tcPr>
            <w:tcW w:type="dxa" w:w="25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満期日</w:t>
            </w:r>
          </w:p>
        </w:tc>
        <w:tc>
          <w:tcPr>
            <w:tcW w:type="dxa" w:w="1638"/>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金額（円）</w:t>
            </w:r>
          </w:p>
        </w:tc>
      </w:tr>
      <w:tr>
        <w:trPr>
          <w:tblHeader w:val="false"/>
        </w:trPr>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茨城県信用組合 本店</w:t>
            </w:r>
          </w:p>
        </w:tc>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1年 大口定期（自動継続）</w:t>
            </w:r>
          </w:p>
        </w:tc>
        <w:tc>
          <w:tcPr>
            <w:tcW w:type="dxa" w:w="9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0.275%</w:t>
            </w:r>
          </w:p>
        </w:tc>
        <w:tc>
          <w:tcPr>
            <w:tcW w:type="dxa" w:w="2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2026.5.22（継続後 2027.5.22 と推定）</w:t>
            </w:r>
          </w:p>
        </w:tc>
        <w:tc>
          <w:tcPr>
            <w:tcW w:type="dxa" w:w="1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21,190,000</w:t>
            </w:r>
          </w:p>
        </w:tc>
      </w:tr>
      <w:tr>
        <w:trPr>
          <w:tblHeader w:val="false"/>
        </w:trPr>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茨城県信用組合 本店</w:t>
            </w:r>
          </w:p>
        </w:tc>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1年 スーパー定期（自動継続）</w:t>
            </w:r>
          </w:p>
        </w:tc>
        <w:tc>
          <w:tcPr>
            <w:tcW w:type="dxa" w:w="9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0.275%</w:t>
            </w:r>
          </w:p>
        </w:tc>
        <w:tc>
          <w:tcPr>
            <w:tcW w:type="dxa" w:w="2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2027.2.19</w:t>
            </w:r>
          </w:p>
        </w:tc>
        <w:tc>
          <w:tcPr>
            <w:tcW w:type="dxa" w:w="1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5,730,000</w:t>
            </w:r>
          </w:p>
        </w:tc>
      </w:tr>
      <w:tr>
        <w:trPr>
          <w:tblHeader w:val="false"/>
        </w:trPr>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常陽銀行 本店</w:t>
            </w:r>
          </w:p>
        </w:tc>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2年 自動継続</w:t>
            </w:r>
          </w:p>
        </w:tc>
        <w:tc>
          <w:tcPr>
            <w:tcW w:type="dxa" w:w="9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0.125%</w:t>
            </w:r>
          </w:p>
        </w:tc>
        <w:tc>
          <w:tcPr>
            <w:tcW w:type="dxa" w:w="2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2026.12.24</w:t>
            </w:r>
          </w:p>
        </w:tc>
        <w:tc>
          <w:tcPr>
            <w:tcW w:type="dxa" w:w="1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6,000,000</w:t>
            </w:r>
          </w:p>
        </w:tc>
      </w:tr>
      <w:tr>
        <w:trPr>
          <w:tblHeader w:val="false"/>
        </w:trPr>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常陽銀行 本店</w:t>
            </w:r>
          </w:p>
        </w:tc>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1年 自動継続</w:t>
            </w:r>
          </w:p>
        </w:tc>
        <w:tc>
          <w:tcPr>
            <w:tcW w:type="dxa" w:w="9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0.275%</w:t>
            </w:r>
          </w:p>
        </w:tc>
        <w:tc>
          <w:tcPr>
            <w:tcW w:type="dxa" w:w="2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2027.3.28</w:t>
            </w:r>
          </w:p>
        </w:tc>
        <w:tc>
          <w:tcPr>
            <w:tcW w:type="dxa" w:w="1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12,100,000</w:t>
            </w:r>
          </w:p>
        </w:tc>
      </w:tr>
      <w:tr>
        <w:trPr>
          <w:tblHeader w:val="false"/>
        </w:trPr>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常陽銀行 本店</w:t>
            </w:r>
          </w:p>
        </w:tc>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5年 自動継続</w:t>
            </w:r>
          </w:p>
        </w:tc>
        <w:tc>
          <w:tcPr>
            <w:tcW w:type="dxa" w:w="9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0.4%</w:t>
            </w:r>
          </w:p>
        </w:tc>
        <w:tc>
          <w:tcPr>
            <w:tcW w:type="dxa" w:w="2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2030.9.17</w:t>
            </w:r>
          </w:p>
        </w:tc>
        <w:tc>
          <w:tcPr>
            <w:tcW w:type="dxa" w:w="1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5,730,000</w:t>
            </w:r>
          </w:p>
        </w:tc>
      </w:tr>
      <w:tr>
        <w:trPr>
          <w:tblHeader w:val="false"/>
        </w:trPr>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常陽銀行 本店</w:t>
            </w:r>
          </w:p>
        </w:tc>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1年 自動継続</w:t>
            </w:r>
          </w:p>
        </w:tc>
        <w:tc>
          <w:tcPr>
            <w:tcW w:type="dxa" w:w="9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0.275%</w:t>
            </w:r>
          </w:p>
        </w:tc>
        <w:tc>
          <w:tcPr>
            <w:tcW w:type="dxa" w:w="2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2026.8.7（継続後 2027.8.7 と推定）</w:t>
            </w:r>
          </w:p>
        </w:tc>
        <w:tc>
          <w:tcPr>
            <w:tcW w:type="dxa" w:w="1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1,500,000</w:t>
            </w:r>
          </w:p>
        </w:tc>
      </w:tr>
      <w:tr>
        <w:trPr>
          <w:tblHeader w:val="false"/>
        </w:trPr>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常陽銀行 本店</w:t>
            </w:r>
          </w:p>
        </w:tc>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1年 自動継続</w:t>
            </w:r>
          </w:p>
        </w:tc>
        <w:tc>
          <w:tcPr>
            <w:tcW w:type="dxa" w:w="9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0.4%</w:t>
            </w:r>
          </w:p>
        </w:tc>
        <w:tc>
          <w:tcPr>
            <w:tcW w:type="dxa" w:w="2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2027.3.23</w:t>
            </w:r>
          </w:p>
        </w:tc>
        <w:tc>
          <w:tcPr>
            <w:tcW w:type="dxa" w:w="1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3,000,000</w:t>
            </w:r>
          </w:p>
        </w:tc>
      </w:tr>
      <w:tr>
        <w:trPr>
          <w:tblHeader w:val="false"/>
        </w:trPr>
        <w:tc>
          <w:tcPr>
            <w:tcW w:type="dxa" w:w="22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left"/>
            </w:pPr>
            <w:r>
              <w:rPr>
                <w:b/>
                <w:bCs/>
                <w:sz w:val="17"/>
                <w:szCs w:val="17"/>
                <w:rFonts w:ascii="游明朝" w:eastAsia="游明朝" w:hAnsi="游明朝" w:cs="游明朝"/>
              </w:rPr>
              <w:t xml:space="preserve">計</w:t>
            </w:r>
          </w:p>
        </w:tc>
        <w:tc>
          <w:tcPr>
            <w:tcW w:type="dxa" w:w="24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left"/>
            </w:pPr>
            <w:r>
              <w:rPr>
                <w:b/>
                <w:bCs/>
                <w:sz w:val="17"/>
                <w:szCs w:val="17"/>
                <w:rFonts w:ascii="游明朝" w:eastAsia="游明朝" w:hAnsi="游明朝" w:cs="游明朝"/>
              </w:rPr>
            </w:r>
          </w:p>
        </w:tc>
        <w:tc>
          <w:tcPr>
            <w:tcW w:type="dxa" w:w="9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center"/>
            </w:pPr>
            <w:r>
              <w:rPr>
                <w:b/>
                <w:bCs/>
                <w:sz w:val="17"/>
                <w:szCs w:val="17"/>
                <w:rFonts w:ascii="游明朝" w:eastAsia="游明朝" w:hAnsi="游明朝" w:cs="游明朝"/>
              </w:rPr>
              <w:t xml:space="preserve">加重平均 0.28%</w:t>
            </w:r>
          </w:p>
        </w:tc>
        <w:tc>
          <w:tcPr>
            <w:tcW w:type="dxa" w:w="25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left"/>
            </w:pPr>
            <w:r>
              <w:rPr>
                <w:b/>
                <w:bCs/>
                <w:sz w:val="17"/>
                <w:szCs w:val="17"/>
                <w:rFonts w:ascii="游明朝" w:eastAsia="游明朝" w:hAnsi="游明朝" w:cs="游明朝"/>
              </w:rPr>
            </w:r>
          </w:p>
        </w:tc>
        <w:tc>
          <w:tcPr>
            <w:tcW w:type="dxa" w:w="1638"/>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right"/>
            </w:pPr>
            <w:r>
              <w:rPr>
                <w:b/>
                <w:bCs/>
                <w:sz w:val="17"/>
                <w:szCs w:val="17"/>
                <w:rFonts w:ascii="游明朝" w:eastAsia="游明朝" w:hAnsi="游明朝" w:cs="游明朝"/>
              </w:rPr>
              <w:t xml:space="preserve">55,250,000</w:t>
            </w:r>
          </w:p>
        </w:tc>
      </w:tr>
    </w:tbl>
    <w:p>
      <w:pPr>
        <w:pStyle w:val="Heading2"/>
        <w:spacing w:before="200" w:after="100"/>
      </w:pPr>
      <w:r>
        <w:rPr>
          <w:b/>
          <w:bCs/>
          <w:sz w:val="23"/>
          <w:szCs w:val="23"/>
          <w:rFonts w:ascii="游ゴシック" w:eastAsia="游ゴシック" w:hAnsi="游ゴシック" w:cs="游ゴシック"/>
        </w:rPr>
        <w:t xml:space="preserve">2-4．収益の実績と見込み</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2200"/>
        <w:gridCol w:w="3438"/>
      </w:tblGrid>
      <w:tr>
        <w:trPr>
          <w:tblHeader/>
        </w:trPr>
        <w:tc>
          <w:tcPr>
            <w:tcW w:type="dxa" w:w="40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8"/>
                <w:szCs w:val="18"/>
                <w:rFonts w:ascii="游ゴシック" w:eastAsia="游ゴシック" w:hAnsi="游ゴシック" w:cs="游ゴシック"/>
              </w:rPr>
              <w:t xml:space="preserve">項目</w:t>
            </w:r>
          </w:p>
        </w:tc>
        <w:tc>
          <w:tcPr>
            <w:tcW w:type="dxa" w:w="22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8"/>
                <w:szCs w:val="18"/>
                <w:rFonts w:ascii="游ゴシック" w:eastAsia="游ゴシック" w:hAnsi="游ゴシック" w:cs="游ゴシック"/>
              </w:rPr>
              <w:t xml:space="preserve">金額（円）</w:t>
            </w:r>
          </w:p>
        </w:tc>
        <w:tc>
          <w:tcPr>
            <w:tcW w:type="dxa" w:w="3438"/>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8"/>
                <w:szCs w:val="18"/>
                <w:rFonts w:ascii="游ゴシック" w:eastAsia="游ゴシック" w:hAnsi="游ゴシック" w:cs="游ゴシック"/>
              </w:rPr>
              <w:t xml:space="preserve">備考</w:t>
            </w:r>
          </w:p>
        </w:tc>
      </w:tr>
      <w:tr>
        <w:trPr>
          <w:tblHeader w:val="false"/>
        </w:trPr>
        <w:tc>
          <w:tcPr>
            <w:tcW w:type="dxa" w:w="4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令和7年度 財産収入（基本財産 利息利金等）決算</w:t>
            </w:r>
          </w:p>
        </w:tc>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8"/>
                <w:szCs w:val="18"/>
                <w:rFonts w:ascii="游明朝" w:eastAsia="游明朝" w:hAnsi="游明朝" w:cs="游明朝"/>
              </w:rPr>
              <w:t xml:space="preserve">834,889</w:t>
            </w:r>
          </w:p>
        </w:tc>
        <w:tc>
          <w:tcPr>
            <w:tcW w:type="dxa" w:w="34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予算 207,000 に対し +627,889</w:t>
            </w:r>
          </w:p>
        </w:tc>
      </w:tr>
      <w:tr>
        <w:trPr>
          <w:tblHeader w:val="false"/>
        </w:trPr>
        <w:tc>
          <w:tcPr>
            <w:tcW w:type="dxa" w:w="4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現行構成での年間利息見込み（国債クーポン）</w:t>
            </w:r>
          </w:p>
        </w:tc>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8"/>
                <w:szCs w:val="18"/>
                <w:rFonts w:ascii="游明朝" w:eastAsia="游明朝" w:hAnsi="游明朝" w:cs="游明朝"/>
              </w:rPr>
              <w:t xml:space="preserve">1,365,500</w:t>
            </w:r>
          </w:p>
        </w:tc>
        <w:tc>
          <w:tcPr>
            <w:tcW w:type="dxa" w:w="34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額面×利率の単純合計</w:t>
            </w:r>
          </w:p>
        </w:tc>
      </w:tr>
      <w:tr>
        <w:trPr>
          <w:tblHeader w:val="false"/>
        </w:trPr>
        <w:tc>
          <w:tcPr>
            <w:tcW w:type="dxa" w:w="4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現行構成での年間利息見込み（定期預金）</w:t>
            </w:r>
          </w:p>
        </w:tc>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8"/>
                <w:szCs w:val="18"/>
                <w:rFonts w:ascii="游明朝" w:eastAsia="游明朝" w:hAnsi="游明朝" w:cs="游明朝"/>
              </w:rPr>
              <w:t xml:space="preserve">153,850</w:t>
            </w:r>
          </w:p>
        </w:tc>
        <w:tc>
          <w:tcPr>
            <w:tcW w:type="dxa" w:w="34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契約利率ベース</w:t>
            </w:r>
          </w:p>
        </w:tc>
      </w:tr>
      <w:tr>
        <w:trPr>
          <w:tblHeader w:val="false"/>
        </w:trPr>
        <w:tc>
          <w:tcPr>
            <w:tcW w:type="dxa" w:w="40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left"/>
            </w:pPr>
            <w:r>
              <w:rPr>
                <w:b/>
                <w:bCs/>
                <w:sz w:val="18"/>
                <w:szCs w:val="18"/>
                <w:rFonts w:ascii="游明朝" w:eastAsia="游明朝" w:hAnsi="游明朝" w:cs="游明朝"/>
              </w:rPr>
              <w:t xml:space="preserve">現行構成での年間利息見込み 合計</w:t>
            </w:r>
          </w:p>
        </w:tc>
        <w:tc>
          <w:tcPr>
            <w:tcW w:type="dxa" w:w="22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right"/>
            </w:pPr>
            <w:r>
              <w:rPr>
                <w:b/>
                <w:bCs/>
                <w:sz w:val="18"/>
                <w:szCs w:val="18"/>
                <w:rFonts w:ascii="游明朝" w:eastAsia="游明朝" w:hAnsi="游明朝" w:cs="游明朝"/>
              </w:rPr>
              <w:t xml:space="preserve">1,519,350</w:t>
            </w:r>
          </w:p>
        </w:tc>
        <w:tc>
          <w:tcPr>
            <w:tcW w:type="dxa" w:w="3438"/>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left"/>
            </w:pPr>
            <w:r>
              <w:rPr>
                <w:b/>
                <w:bCs/>
                <w:sz w:val="18"/>
                <w:szCs w:val="18"/>
                <w:rFonts w:ascii="游明朝" w:eastAsia="游明朝" w:hAnsi="游明朝" w:cs="游明朝"/>
              </w:rPr>
              <w:t xml:space="preserve">基本財産 175,000,000円に対し 0.87%</w:t>
            </w:r>
          </w:p>
        </w:tc>
      </w:tr>
      <w:tr>
        <w:trPr>
          <w:tblHeader w:val="false"/>
        </w:trPr>
        <w:tc>
          <w:tcPr>
            <w:tcW w:type="dxa" w:w="4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（参考）令和7年度 一般会計 支出総額</w:t>
            </w:r>
          </w:p>
        </w:tc>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8"/>
                <w:szCs w:val="18"/>
                <w:rFonts w:ascii="游明朝" w:eastAsia="游明朝" w:hAnsi="游明朝" w:cs="游明朝"/>
              </w:rPr>
              <w:t xml:space="preserve">21,868,211</w:t>
            </w:r>
          </w:p>
        </w:tc>
        <w:tc>
          <w:tcPr>
            <w:tcW w:type="dxa" w:w="34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基本財産の運用収益は支出の約4%相当</w:t>
            </w:r>
          </w:p>
        </w:tc>
      </w:tr>
    </w:tbl>
    <w:p>
      <w:pPr>
        <w:pStyle w:val="Heading2"/>
        <w:spacing w:before="200" w:after="100"/>
      </w:pPr>
      <w:r>
        <w:rPr>
          <w:b/>
          <w:bCs/>
          <w:sz w:val="23"/>
          <w:szCs w:val="23"/>
          <w:rFonts w:ascii="游ゴシック" w:eastAsia="游ゴシック" w:hAnsi="游ゴシック" w:cs="游ゴシック"/>
        </w:rPr>
        <w:t xml:space="preserve">2-5．償還・満期の年次分布（基本財産）</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2200"/>
        <w:gridCol w:w="2200"/>
        <w:gridCol w:w="2000"/>
        <w:gridCol w:w="1638"/>
      </w:tblGrid>
      <w:tr>
        <w:trPr>
          <w:tblHeader/>
        </w:trPr>
        <w:tc>
          <w:tcPr>
            <w:tcW w:type="dxa" w:w="16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8"/>
                <w:szCs w:val="18"/>
                <w:rFonts w:ascii="游ゴシック" w:eastAsia="游ゴシック" w:hAnsi="游ゴシック" w:cs="游ゴシック"/>
              </w:rPr>
              <w:t xml:space="preserve">年</w:t>
            </w:r>
          </w:p>
        </w:tc>
        <w:tc>
          <w:tcPr>
            <w:tcW w:type="dxa" w:w="22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8"/>
                <w:szCs w:val="18"/>
                <w:rFonts w:ascii="游ゴシック" w:eastAsia="游ゴシック" w:hAnsi="游ゴシック" w:cs="游ゴシック"/>
              </w:rPr>
              <w:t xml:space="preserve">国債 償還額（円）</w:t>
            </w:r>
          </w:p>
        </w:tc>
        <w:tc>
          <w:tcPr>
            <w:tcW w:type="dxa" w:w="22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8"/>
                <w:szCs w:val="18"/>
                <w:rFonts w:ascii="游ゴシック" w:eastAsia="游ゴシック" w:hAnsi="游ゴシック" w:cs="游ゴシック"/>
              </w:rPr>
              <w:t xml:space="preserve">定期 満期額（円）</w:t>
            </w:r>
          </w:p>
        </w:tc>
        <w:tc>
          <w:tcPr>
            <w:tcW w:type="dxa" w:w="20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8"/>
                <w:szCs w:val="18"/>
                <w:rFonts w:ascii="游ゴシック" w:eastAsia="游ゴシック" w:hAnsi="游ゴシック" w:cs="游ゴシック"/>
              </w:rPr>
              <w:t xml:space="preserve">合計（円）</w:t>
            </w:r>
          </w:p>
        </w:tc>
        <w:tc>
          <w:tcPr>
            <w:tcW w:type="dxa" w:w="1638"/>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8"/>
                <w:szCs w:val="18"/>
                <w:rFonts w:ascii="游ゴシック" w:eastAsia="游ゴシック" w:hAnsi="游ゴシック" w:cs="游ゴシック"/>
              </w:rPr>
              <w:t xml:space="preserve">基本財産比</w:t>
            </w:r>
          </w:p>
        </w:tc>
      </w:tr>
      <w:tr>
        <w:trPr>
          <w:tblHeader w:val="false"/>
        </w:trPr>
        <w:tc>
          <w:tcPr>
            <w:tcW w:type="dxa" w:w="1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2026年</w:t>
            </w:r>
          </w:p>
        </w:tc>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8"/>
                <w:szCs w:val="18"/>
                <w:rFonts w:ascii="游明朝" w:eastAsia="游明朝" w:hAnsi="游明朝" w:cs="游明朝"/>
              </w:rPr>
              <w:t xml:space="preserve">0</w:t>
            </w:r>
          </w:p>
        </w:tc>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8"/>
                <w:szCs w:val="18"/>
                <w:rFonts w:ascii="游明朝" w:eastAsia="游明朝" w:hAnsi="游明朝" w:cs="游明朝"/>
              </w:rPr>
              <w:t xml:space="preserve">6,000,000</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8"/>
                <w:szCs w:val="18"/>
                <w:rFonts w:ascii="游明朝" w:eastAsia="游明朝" w:hAnsi="游明朝" w:cs="游明朝"/>
              </w:rPr>
              <w:t xml:space="preserve">6,000,000</w:t>
            </w:r>
          </w:p>
        </w:tc>
        <w:tc>
          <w:tcPr>
            <w:tcW w:type="dxa" w:w="1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8"/>
                <w:szCs w:val="18"/>
                <w:rFonts w:ascii="游明朝" w:eastAsia="游明朝" w:hAnsi="游明朝" w:cs="游明朝"/>
              </w:rPr>
              <w:t xml:space="preserve">3.4%</w:t>
            </w:r>
          </w:p>
        </w:tc>
      </w:tr>
      <w:tr>
        <w:trPr>
          <w:tblHeader w:val="false"/>
        </w:trPr>
        <w:tc>
          <w:tcPr>
            <w:tcW w:type="dxa" w:w="1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2027年</w:t>
            </w:r>
          </w:p>
        </w:tc>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8"/>
                <w:szCs w:val="18"/>
                <w:rFonts w:ascii="游明朝" w:eastAsia="游明朝" w:hAnsi="游明朝" w:cs="游明朝"/>
              </w:rPr>
              <w:t xml:space="preserve">20,000,000</w:t>
            </w:r>
          </w:p>
        </w:tc>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8"/>
                <w:szCs w:val="18"/>
                <w:rFonts w:ascii="游明朝" w:eastAsia="游明朝" w:hAnsi="游明朝" w:cs="游明朝"/>
              </w:rPr>
              <w:t xml:space="preserve">43,520,000</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8"/>
                <w:szCs w:val="18"/>
                <w:rFonts w:ascii="游明朝" w:eastAsia="游明朝" w:hAnsi="游明朝" w:cs="游明朝"/>
              </w:rPr>
              <w:t xml:space="preserve">63,520,000</w:t>
            </w:r>
          </w:p>
        </w:tc>
        <w:tc>
          <w:tcPr>
            <w:tcW w:type="dxa" w:w="1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8"/>
                <w:szCs w:val="18"/>
                <w:rFonts w:ascii="游明朝" w:eastAsia="游明朝" w:hAnsi="游明朝" w:cs="游明朝"/>
              </w:rPr>
              <w:t xml:space="preserve">36.3%</w:t>
            </w:r>
          </w:p>
        </w:tc>
      </w:tr>
      <w:tr>
        <w:trPr>
          <w:tblHeader w:val="false"/>
        </w:trPr>
        <w:tc>
          <w:tcPr>
            <w:tcW w:type="dxa" w:w="1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2028〜2029年</w:t>
            </w:r>
          </w:p>
        </w:tc>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8"/>
                <w:szCs w:val="18"/>
                <w:rFonts w:ascii="游明朝" w:eastAsia="游明朝" w:hAnsi="游明朝" w:cs="游明朝"/>
              </w:rPr>
              <w:t xml:space="preserve">0</w:t>
            </w:r>
          </w:p>
        </w:tc>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8"/>
                <w:szCs w:val="18"/>
                <w:rFonts w:ascii="游明朝" w:eastAsia="游明朝" w:hAnsi="游明朝" w:cs="游明朝"/>
              </w:rPr>
              <w:t xml:space="preserve">0</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8"/>
                <w:szCs w:val="18"/>
                <w:rFonts w:ascii="游明朝" w:eastAsia="游明朝" w:hAnsi="游明朝" w:cs="游明朝"/>
              </w:rPr>
              <w:t xml:space="preserve">0</w:t>
            </w:r>
          </w:p>
        </w:tc>
        <w:tc>
          <w:tcPr>
            <w:tcW w:type="dxa" w:w="1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8"/>
                <w:szCs w:val="18"/>
                <w:rFonts w:ascii="游明朝" w:eastAsia="游明朝" w:hAnsi="游明朝" w:cs="游明朝"/>
              </w:rPr>
              <w:t xml:space="preserve">0.0%</w:t>
            </w:r>
          </w:p>
        </w:tc>
      </w:tr>
      <w:tr>
        <w:trPr>
          <w:tblHeader w:val="false"/>
        </w:trPr>
        <w:tc>
          <w:tcPr>
            <w:tcW w:type="dxa" w:w="16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left"/>
            </w:pPr>
            <w:r>
              <w:rPr>
                <w:b/>
                <w:bCs/>
                <w:sz w:val="18"/>
                <w:szCs w:val="18"/>
                <w:rFonts w:ascii="游明朝" w:eastAsia="游明朝" w:hAnsi="游明朝" w:cs="游明朝"/>
              </w:rPr>
              <w:t xml:space="preserve">2030年</w:t>
            </w:r>
          </w:p>
        </w:tc>
        <w:tc>
          <w:tcPr>
            <w:tcW w:type="dxa" w:w="22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right"/>
            </w:pPr>
            <w:r>
              <w:rPr>
                <w:b/>
                <w:bCs/>
                <w:sz w:val="18"/>
                <w:szCs w:val="18"/>
                <w:rFonts w:ascii="游明朝" w:eastAsia="游明朝" w:hAnsi="游明朝" w:cs="游明朝"/>
              </w:rPr>
              <w:t xml:space="preserve">99,750,000</w:t>
            </w:r>
          </w:p>
        </w:tc>
        <w:tc>
          <w:tcPr>
            <w:tcW w:type="dxa" w:w="22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right"/>
            </w:pPr>
            <w:r>
              <w:rPr>
                <w:b/>
                <w:bCs/>
                <w:sz w:val="18"/>
                <w:szCs w:val="18"/>
                <w:rFonts w:ascii="游明朝" w:eastAsia="游明朝" w:hAnsi="游明朝" w:cs="游明朝"/>
              </w:rPr>
              <w:t xml:space="preserve">5,730,000</w:t>
            </w:r>
          </w:p>
        </w:tc>
        <w:tc>
          <w:tcPr>
            <w:tcW w:type="dxa" w:w="20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right"/>
            </w:pPr>
            <w:r>
              <w:rPr>
                <w:b/>
                <w:bCs/>
                <w:sz w:val="18"/>
                <w:szCs w:val="18"/>
                <w:rFonts w:ascii="游明朝" w:eastAsia="游明朝" w:hAnsi="游明朝" w:cs="游明朝"/>
              </w:rPr>
              <w:t xml:space="preserve">105,480,000</w:t>
            </w:r>
          </w:p>
        </w:tc>
        <w:tc>
          <w:tcPr>
            <w:tcW w:type="dxa" w:w="1638"/>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right"/>
            </w:pPr>
            <w:r>
              <w:rPr>
                <w:b/>
                <w:bCs/>
                <w:sz w:val="18"/>
                <w:szCs w:val="18"/>
                <w:rFonts w:ascii="游明朝" w:eastAsia="游明朝" w:hAnsi="游明朝" w:cs="游明朝"/>
              </w:rPr>
              <w:t xml:space="preserve">60.3%</w:t>
            </w:r>
          </w:p>
        </w:tc>
      </w:tr>
    </w:tbl>
    <w:p>
      <w:r>
        <w:br w:type="page"/>
      </w:r>
    </w:p>
    <w:p>
      <w:pPr>
        <w:pStyle w:val="Heading1"/>
        <w:spacing w:before="280" w:after="140"/>
      </w:pPr>
      <w:r>
        <w:rPr>
          <w:b/>
          <w:bCs/>
          <w:sz w:val="28"/>
          <w:szCs w:val="28"/>
          <w:rFonts w:ascii="游ゴシック" w:eastAsia="游ゴシック" w:hAnsi="游ゴシック" w:cs="游ゴシック"/>
        </w:rPr>
        <w:t xml:space="preserve">3．検討の前提</w:t>
      </w:r>
    </w:p>
    <w:p>
      <w:pPr>
        <w:pStyle w:val="Heading2"/>
        <w:spacing w:before="200" w:after="100"/>
      </w:pPr>
      <w:r>
        <w:rPr>
          <w:b/>
          <w:bCs/>
          <w:sz w:val="23"/>
          <w:szCs w:val="23"/>
          <w:rFonts w:ascii="游ゴシック" w:eastAsia="游ゴシック" w:hAnsi="游ゴシック" w:cs="游ゴシック"/>
        </w:rPr>
        <w:t xml:space="preserve">3-1．資金運用基本方針（案）・ガイドライン（案）の要点</w:t>
      </w:r>
    </w:p>
    <w:p>
      <w:pPr>
        <w:spacing w:after="100" w:line="300"/>
      </w:pPr>
      <w:r>
        <w:rPr>
          <w:sz w:val="21"/>
          <w:szCs w:val="21"/>
          <w:rFonts w:ascii="游明朝" w:eastAsia="游明朝" w:hAnsi="游明朝" w:cs="游明朝"/>
        </w:rPr>
        <w:t xml:space="preserve">梶副理事長作成、2026年8月19日付。事務局より2026年8月に理事へ送付。出典：Box「0.鈴木孝昌／(更生保護協会)／資産運用委員会」。</w:t>
      </w:r>
    </w:p>
    <w:p>
      <w:pPr>
        <w:pStyle w:val="ListParagraph"/>
        <w:numPr>
          <w:ilvl w:val="0"/>
          <w:numId w:val="2"/>
        </w:numPr>
        <w:spacing w:after="60" w:line="290"/>
      </w:pPr>
      <w:r>
        <w:rPr>
          <w:sz w:val="21"/>
          <w:szCs w:val="21"/>
          <w:rFonts w:ascii="游明朝" w:eastAsia="游明朝" w:hAnsi="游明朝" w:cs="游明朝"/>
        </w:rPr>
        <w:t xml:space="preserve">優先順位：安全性 → 流動性 → 収益性。名目上の元本保全だけでなく、物価上昇による実質価値の低下にも留意（ガイドライン第1条）。</w:t>
      </w:r>
    </w:p>
    <w:p>
      <w:pPr>
        <w:pStyle w:val="ListParagraph"/>
        <w:numPr>
          <w:ilvl w:val="0"/>
          <w:numId w:val="2"/>
        </w:numPr>
        <w:spacing w:after="60" w:line="290"/>
      </w:pPr>
      <w:r>
        <w:rPr>
          <w:sz w:val="21"/>
          <w:szCs w:val="21"/>
          <w:rFonts w:ascii="游明朝" w:eastAsia="游明朝" w:hAnsi="游明朝" w:cs="游明朝"/>
        </w:rPr>
        <w:t xml:space="preserve">基本財産の運用対象：日本国債、地方債、政府保証債、定期預金、その他理事会が安全と認めた金融商品（基本方針第3条）。</w:t>
      </w:r>
    </w:p>
    <w:p>
      <w:pPr>
        <w:pStyle w:val="ListParagraph"/>
        <w:numPr>
          <w:ilvl w:val="0"/>
          <w:numId w:val="2"/>
        </w:numPr>
        <w:spacing w:after="60" w:line="290"/>
      </w:pPr>
      <w:r>
        <w:rPr>
          <w:sz w:val="21"/>
          <w:szCs w:val="21"/>
          <w:rFonts w:ascii="游明朝" w:eastAsia="游明朝" w:hAnsi="游明朝" w:cs="游明朝"/>
        </w:rPr>
        <w:t xml:space="preserve">基本財産の資産配分の目安：国債等 70〜90%、定期預金等 10〜30%。毎年度見直し（ガイドライン第3条）。</w:t>
      </w:r>
    </w:p>
    <w:p>
      <w:pPr>
        <w:pStyle w:val="ListParagraph"/>
        <w:numPr>
          <w:ilvl w:val="0"/>
          <w:numId w:val="2"/>
        </w:numPr>
        <w:spacing w:after="60" w:line="290"/>
      </w:pPr>
      <w:r>
        <w:rPr>
          <w:sz w:val="21"/>
          <w:szCs w:val="21"/>
          <w:rFonts w:ascii="游明朝" w:eastAsia="游明朝" w:hAnsi="游明朝" w:cs="游明朝"/>
        </w:rPr>
        <w:t xml:space="preserve">満期の分散、満期到来時の機械的継続の禁止、原則満期保有（ガイドライン第4条）。</w:t>
      </w:r>
    </w:p>
    <w:p>
      <w:pPr>
        <w:pStyle w:val="ListParagraph"/>
        <w:numPr>
          <w:ilvl w:val="0"/>
          <w:numId w:val="2"/>
        </w:numPr>
        <w:spacing w:after="60" w:line="290"/>
      </w:pPr>
      <w:r>
        <w:rPr>
          <w:sz w:val="21"/>
          <w:szCs w:val="21"/>
          <w:rFonts w:ascii="游明朝" w:eastAsia="游明朝" w:hAnsi="游明朝" w:cs="游明朝"/>
        </w:rPr>
        <w:t xml:space="preserve">通常財産の余裕資金は分散型投資信託等での運用可。リスク資産割合は毎年度見直し（ガイドライン第5条）。</w:t>
      </w:r>
    </w:p>
    <w:p>
      <w:pPr>
        <w:pStyle w:val="ListParagraph"/>
        <w:numPr>
          <w:ilvl w:val="0"/>
          <w:numId w:val="2"/>
        </w:numPr>
        <w:spacing w:after="60" w:line="290"/>
      </w:pPr>
      <w:r>
        <w:rPr>
          <w:sz w:val="21"/>
          <w:szCs w:val="21"/>
          <w:rFonts w:ascii="游明朝" w:eastAsia="游明朝" w:hAnsi="游明朝" w:cs="游明朝"/>
        </w:rPr>
        <w:t xml:space="preserve">投機的取引・禁止取引の定義（信用取引、デリバティブ、FX、暗号資産、個別株の短期売買等）（ガイドライン第7条）。</w:t>
      </w:r>
    </w:p>
    <w:p>
      <w:pPr>
        <w:pStyle w:val="ListParagraph"/>
        <w:numPr>
          <w:ilvl w:val="0"/>
          <w:numId w:val="2"/>
        </w:numPr>
        <w:spacing w:after="60" w:line="290"/>
      </w:pPr>
      <w:r>
        <w:rPr>
          <w:sz w:val="21"/>
          <w:szCs w:val="21"/>
          <w:rFonts w:ascii="游明朝" w:eastAsia="游明朝" w:hAnsi="游明朝" w:cs="游明朝"/>
        </w:rPr>
        <w:t xml:space="preserve">運用先は複数の金融機関から条件提示を受け、利回り・信用力・手数料・保護預り費用・事務体制・更生保護活動への協力を総合評価し、選定記録を残す（ガイドライン第8条）。</w:t>
      </w:r>
    </w:p>
    <w:p>
      <w:pPr>
        <w:pStyle w:val="ListParagraph"/>
        <w:numPr>
          <w:ilvl w:val="0"/>
          <w:numId w:val="2"/>
        </w:numPr>
        <w:spacing w:after="60" w:line="290"/>
      </w:pPr>
      <w:r>
        <w:rPr>
          <w:sz w:val="21"/>
          <w:szCs w:val="21"/>
          <w:rFonts w:ascii="游明朝" w:eastAsia="游明朝" w:hAnsi="游明朝" w:cs="游明朝"/>
        </w:rPr>
        <w:t xml:space="preserve">重要な資産配分の変更等は理事会の承認。毎年度、運用状況を理事会へ報告（ガイドライン第9・10条）。</w:t>
      </w:r>
    </w:p>
    <w:p>
      <w:pPr>
        <w:pStyle w:val="Heading2"/>
        <w:spacing w:before="200" w:after="100"/>
      </w:pPr>
      <w:r>
        <w:rPr>
          <w:b/>
          <w:bCs/>
          <w:sz w:val="23"/>
          <w:szCs w:val="23"/>
          <w:rFonts w:ascii="游ゴシック" w:eastAsia="游ゴシック" w:hAnsi="游ゴシック" w:cs="游ゴシック"/>
        </w:rPr>
        <w:t xml:space="preserve">3-2．関東地方更生保護委員会からの回答（全文）</w:t>
      </w:r>
    </w:p>
    <w:p>
      <w:pPr>
        <w:spacing w:after="100" w:line="300"/>
      </w:pPr>
      <w:r>
        <w:rPr>
          <w:color w:val="555555"/>
          <w:sz w:val="18"/>
          <w:szCs w:val="18"/>
          <w:rFonts w:ascii="游明朝" w:eastAsia="游明朝" w:hAnsi="游明朝" w:cs="游明朝"/>
        </w:rPr>
        <w:t xml:space="preserve">出典：事務局メール「基本財産運用について」添付「関東地方更生保護委員会からの回答.docx」（2026年8月、Box保存日 2026年8月22日）。</w:t>
      </w:r>
    </w:p>
    <w:p>
      <w:pPr>
        <w:spacing w:after="100" w:line="300"/>
        <w:ind w:left="400" w:right="400"/>
      </w:pPr>
      <w:r>
        <w:rPr>
          <w:sz w:val="19"/>
          <w:szCs w:val="19"/>
          <w:rFonts w:ascii="游明朝" w:eastAsia="游明朝" w:hAnsi="游明朝" w:cs="游明朝"/>
        </w:rPr>
        <w:t xml:space="preserve">特段、許容される割合などはどこにも示されていませんが、検討される際に、単純に定期預金より国債の方が利率が良いというだけでなく、定期預金を中途解約した際に適用される中途解約利率や解約手数料・違約金などを加味しても、国債に切り替えた方が安全で高い利回りで運用できるか、切り替えた方がメリットが高いのかどうか判断いただき必要があります。</w:t>
      </w:r>
    </w:p>
    <w:p>
      <w:pPr>
        <w:spacing w:after="100" w:line="300"/>
        <w:ind w:left="400" w:right="400"/>
      </w:pPr>
      <w:r>
        <w:rPr>
          <w:sz w:val="19"/>
          <w:szCs w:val="19"/>
          <w:rFonts w:ascii="游明朝" w:eastAsia="游明朝" w:hAnsi="游明朝" w:cs="游明朝"/>
        </w:rPr>
        <w:t xml:space="preserve">実際に、基本財産を100％国債に切り替えて、定款変更許可申請をした法人もありますので、申請の際には、変更の理由を記載いただく欄に前期部分も盛り込んでいただけたらと思います。</w:t>
      </w:r>
    </w:p>
    <w:p>
      <w:pPr>
        <w:pStyle w:val="Heading2"/>
        <w:spacing w:before="200" w:after="100"/>
      </w:pPr>
      <w:r>
        <w:rPr>
          <w:b/>
          <w:bCs/>
          <w:sz w:val="23"/>
          <w:szCs w:val="23"/>
          <w:rFonts w:ascii="游ゴシック" w:eastAsia="游ゴシック" w:hAnsi="游ゴシック" w:cs="游ゴシック"/>
        </w:rPr>
        <w:t xml:space="preserve">3-3．他県協会の事例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400"/>
        <w:gridCol w:w="4238"/>
      </w:tblGrid>
      <w:tr>
        <w:trPr>
          <w:tblHeader/>
        </w:trPr>
        <w:tc>
          <w:tcPr>
            <w:tcW w:type="dxa" w:w="20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8"/>
                <w:szCs w:val="18"/>
                <w:rFonts w:ascii="游ゴシック" w:eastAsia="游ゴシック" w:hAnsi="游ゴシック" w:cs="游ゴシック"/>
              </w:rPr>
              <w:t xml:space="preserve">協会</w:t>
            </w:r>
          </w:p>
        </w:tc>
        <w:tc>
          <w:tcPr>
            <w:tcW w:type="dxa" w:w="34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8"/>
                <w:szCs w:val="18"/>
                <w:rFonts w:ascii="游ゴシック" w:eastAsia="游ゴシック" w:hAnsi="游ゴシック" w:cs="游ゴシック"/>
              </w:rPr>
              <w:t xml:space="preserve">基本財産の運用</w:t>
            </w:r>
          </w:p>
        </w:tc>
        <w:tc>
          <w:tcPr>
            <w:tcW w:type="dxa" w:w="4238"/>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8"/>
                <w:szCs w:val="18"/>
                <w:rFonts w:ascii="游ゴシック" w:eastAsia="游ゴシック" w:hAnsi="游ゴシック" w:cs="游ゴシック"/>
              </w:rPr>
              <w:t xml:space="preserve">出典</w:t>
            </w:r>
          </w:p>
        </w:tc>
      </w:tr>
      <w:tr>
        <w:trPr>
          <w:tblHeader w:val="false"/>
        </w:trPr>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栃木県更生保護協会</w:t>
            </w:r>
          </w:p>
        </w:tc>
        <w:tc>
          <w:tcPr>
            <w:tcW w:type="dxa" w:w="3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100% 国債での運用に切り替え</w:t>
            </w:r>
          </w:p>
        </w:tc>
        <w:tc>
          <w:tcPr>
            <w:tcW w:type="dxa" w:w="42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事務局が栃木県協会事務局長に聞き取り（事務局メール、2026年8月）</w:t>
            </w:r>
          </w:p>
        </w:tc>
      </w:tr>
      <w:tr>
        <w:trPr>
          <w:tblHeader w:val="false"/>
        </w:trPr>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群馬県更生保護協会</w:t>
            </w:r>
          </w:p>
        </w:tc>
        <w:tc>
          <w:tcPr>
            <w:tcW w:type="dxa" w:w="3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1億円を国債運用、2千万円を定期預金（国債比率 約83%）</w:t>
            </w:r>
          </w:p>
        </w:tc>
        <w:tc>
          <w:tcPr>
            <w:tcW w:type="dxa" w:w="42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同上</w:t>
            </w:r>
          </w:p>
        </w:tc>
      </w:tr>
      <w:tr>
        <w:trPr>
          <w:tblHeader w:val="false"/>
        </w:trPr>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茨城県更生保護協会（現状）</w:t>
            </w:r>
          </w:p>
        </w:tc>
        <w:tc>
          <w:tcPr>
            <w:tcW w:type="dxa" w:w="3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国債 119,750,000円、定期 55,250,000円（国債比率 68.4%）</w:t>
            </w:r>
          </w:p>
        </w:tc>
        <w:tc>
          <w:tcPr>
            <w:tcW w:type="dxa" w:w="42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財産目録（令和8年3月31日現在）</w:t>
            </w:r>
          </w:p>
        </w:tc>
      </w:tr>
    </w:tbl>
    <w:p>
      <w:pPr>
        <w:spacing w:after="100" w:line="300"/>
      </w:pPr>
      <w:r>
        <w:rPr>
          <w:sz w:val="21"/>
          <w:szCs w:val="21"/>
          <w:rFonts w:ascii="游明朝" w:eastAsia="游明朝" w:hAnsi="游明朝" w:cs="游明朝"/>
        </w:rPr>
        <w:t xml:space="preserve">事務局メールによれば、他県での金融機関選定は「理事長・理事の関係する銀行や証券会社、長く取引をしている銀行・証券会社」が中心で、協力内容は役員を通じた寄附や賛助会への加入等とのこと。</w:t>
      </w:r>
    </w:p>
    <w:p>
      <w:pPr>
        <w:pStyle w:val="Heading2"/>
        <w:spacing w:before="200" w:after="100"/>
      </w:pPr>
      <w:r>
        <w:rPr>
          <w:b/>
          <w:bCs/>
          <w:sz w:val="23"/>
          <w:szCs w:val="23"/>
          <w:rFonts w:ascii="游ゴシック" w:eastAsia="游ゴシック" w:hAnsi="游ゴシック" w:cs="游ゴシック"/>
        </w:rPr>
        <w:t xml:space="preserve">3-4．金利環境（2026年9月）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800"/>
        <w:gridCol w:w="4638"/>
      </w:tblGrid>
      <w:tr>
        <w:trPr>
          <w:tblHeader/>
        </w:trPr>
        <w:tc>
          <w:tcPr>
            <w:tcW w:type="dxa" w:w="32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指標</w:t>
            </w:r>
          </w:p>
        </w:tc>
        <w:tc>
          <w:tcPr>
            <w:tcW w:type="dxa" w:w="18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水準</w:t>
            </w:r>
          </w:p>
        </w:tc>
        <w:tc>
          <w:tcPr>
            <w:tcW w:type="dxa" w:w="4638"/>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出典・基準日</w:t>
            </w:r>
          </w:p>
        </w:tc>
      </w:tr>
      <w:tr>
        <w:trPr>
          <w:tblHeader w:val="false"/>
        </w:trPr>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日本銀行 政策金利（無担保コールレート O/N）</w:t>
            </w:r>
          </w:p>
        </w:tc>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1.0%程度</w:t>
            </w:r>
          </w:p>
        </w:tc>
        <w:tc>
          <w:tcPr>
            <w:tcW w:type="dxa" w:w="4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2026年6月の金融政策決定会合で1.00%へ引き上げ（第一生命経済研究所レポート）。次回会合は2026年9月17〜18日</w:t>
            </w:r>
          </w:p>
        </w:tc>
      </w:tr>
      <w:tr>
        <w:trPr>
          <w:tblHeader w:val="false"/>
        </w:trPr>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国債利回り 2年</w:t>
            </w:r>
          </w:p>
        </w:tc>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1.82%</w:t>
            </w:r>
          </w:p>
        </w:tc>
        <w:tc>
          <w:tcPr>
            <w:tcW w:type="dxa" w:w="4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2026年9月10日時点（stock-marketdata.com、二次情報）</w:t>
            </w:r>
          </w:p>
        </w:tc>
      </w:tr>
      <w:tr>
        <w:trPr>
          <w:tblHeader w:val="false"/>
        </w:trPr>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国債利回り 5年</w:t>
            </w:r>
          </w:p>
        </w:tc>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2.22%</w:t>
            </w:r>
          </w:p>
        </w:tc>
        <w:tc>
          <w:tcPr>
            <w:tcW w:type="dxa" w:w="4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同上</w:t>
            </w:r>
          </w:p>
        </w:tc>
      </w:tr>
      <w:tr>
        <w:trPr>
          <w:tblHeader w:val="false"/>
        </w:trPr>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国債利回り 10年</w:t>
            </w:r>
          </w:p>
        </w:tc>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2.98%</w:t>
            </w:r>
          </w:p>
        </w:tc>
        <w:tc>
          <w:tcPr>
            <w:tcW w:type="dxa" w:w="4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同上</w:t>
            </w:r>
          </w:p>
        </w:tc>
      </w:tr>
      <w:tr>
        <w:trPr>
          <w:tblHeader w:val="false"/>
        </w:trPr>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個人向け国債 固定3年／固定5年／変動10年（参考）</w:t>
            </w:r>
          </w:p>
        </w:tc>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1.96%／2.24%／1.95%</w:t>
            </w:r>
          </w:p>
        </w:tc>
        <w:tc>
          <w:tcPr>
            <w:tcW w:type="dxa" w:w="4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2026年9月募集分（LIMO・Yahoo!ニュース等、二次情報）。個人向け国債は個人のみ購入可のため法人は対象外</w:t>
            </w:r>
          </w:p>
        </w:tc>
      </w:tr>
      <w:tr>
        <w:trPr>
          <w:tblHeader w:val="false"/>
        </w:trPr>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常陽銀行 スーパー定期 1年 店頭金利</w:t>
            </w:r>
          </w:p>
        </w:tc>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0.35〜0.50%</w:t>
            </w:r>
          </w:p>
        </w:tc>
        <w:tc>
          <w:tcPr>
            <w:tcW w:type="dxa" w:w="4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pricey.jp 記事（2026年）、二次情報。他行からの資金移動条件付きで1.2%のキャンペーンあり（2026年9月30日まで）</w:t>
            </w:r>
          </w:p>
        </w:tc>
      </w:tr>
      <w:tr>
        <w:trPr>
          <w:tblHeader w:val="false"/>
        </w:trPr>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常陽銀行 普通預金金利</w:t>
            </w:r>
          </w:p>
        </w:tc>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0.3%</w:t>
            </w:r>
          </w:p>
        </w:tc>
        <w:tc>
          <w:tcPr>
            <w:tcW w:type="dxa" w:w="4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日本経済新聞（2025年12月）見出し情報</w:t>
            </w:r>
          </w:p>
        </w:tc>
      </w:tr>
    </w:tbl>
    <w:p>
      <w:r>
        <w:br w:type="page"/>
      </w:r>
    </w:p>
    <w:p>
      <w:pPr>
        <w:pStyle w:val="Heading1"/>
        <w:spacing w:before="280" w:after="140"/>
      </w:pPr>
      <w:r>
        <w:rPr>
          <w:b/>
          <w:bCs/>
          <w:sz w:val="28"/>
          <w:szCs w:val="28"/>
          <w:rFonts w:ascii="游ゴシック" w:eastAsia="游ゴシック" w:hAnsi="游ゴシック" w:cs="游ゴシック"/>
        </w:rPr>
        <w:t xml:space="preserve">4．基本財産の配分案の比較</w:t>
      </w:r>
    </w:p>
    <w:p>
      <w:pPr>
        <w:pStyle w:val="Heading2"/>
        <w:spacing w:before="200" w:after="100"/>
      </w:pPr>
      <w:r>
        <w:rPr>
          <w:b/>
          <w:bCs/>
          <w:sz w:val="23"/>
          <w:szCs w:val="23"/>
          <w:rFonts w:ascii="游ゴシック" w:eastAsia="游ゴシック" w:hAnsi="游ゴシック" w:cs="游ゴシック"/>
        </w:rPr>
        <w:t xml:space="preserve">4-1．配分案の試算</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500"/>
        <w:gridCol w:w="1500"/>
        <w:gridCol w:w="1500"/>
        <w:gridCol w:w="1500"/>
        <w:gridCol w:w="1200"/>
        <w:gridCol w:w="1138"/>
      </w:tblGrid>
      <w:tr>
        <w:trPr>
          <w:tblHeader/>
        </w:trPr>
        <w:tc>
          <w:tcPr>
            <w:tcW w:type="dxa" w:w="13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案</w:t>
            </w:r>
          </w:p>
        </w:tc>
        <w:tc>
          <w:tcPr>
            <w:tcW w:type="dxa" w:w="15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国債等比率</w:t>
            </w:r>
          </w:p>
        </w:tc>
        <w:tc>
          <w:tcPr>
            <w:tcW w:type="dxa" w:w="15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国債等（円）</w:t>
            </w:r>
          </w:p>
        </w:tc>
        <w:tc>
          <w:tcPr>
            <w:tcW w:type="dxa" w:w="15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定期（円）</w:t>
            </w:r>
          </w:p>
        </w:tc>
        <w:tc>
          <w:tcPr>
            <w:tcW w:type="dxa" w:w="15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年間利息</w:t>
            </w:r>
          </w:p>
          <w:p>
            <w:pPr>
              <w:spacing w:after="0" w:line="260"/>
              <w:jc w:val="center"/>
            </w:pPr>
            <w:r>
              <w:rPr>
                <w:b/>
                <w:bCs/>
                <w:sz w:val="17"/>
                <w:szCs w:val="17"/>
                <w:rFonts w:ascii="游ゴシック" w:eastAsia="游ゴシック" w:hAnsi="游ゴシック" w:cs="游ゴシック"/>
              </w:rPr>
              <w:t xml:space="preserve">見込み（円）</w:t>
            </w:r>
          </w:p>
        </w:tc>
        <w:tc>
          <w:tcPr>
            <w:tcW w:type="dxa" w:w="12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対A案</w:t>
            </w:r>
          </w:p>
          <w:p>
            <w:pPr>
              <w:spacing w:after="0" w:line="260"/>
              <w:jc w:val="center"/>
            </w:pPr>
            <w:r>
              <w:rPr>
                <w:b/>
                <w:bCs/>
                <w:sz w:val="17"/>
                <w:szCs w:val="17"/>
                <w:rFonts w:ascii="游ゴシック" w:eastAsia="游ゴシック" w:hAnsi="游ゴシック" w:cs="游ゴシック"/>
              </w:rPr>
              <w:t xml:space="preserve">増減（円）</w:t>
            </w:r>
          </w:p>
        </w:tc>
        <w:tc>
          <w:tcPr>
            <w:tcW w:type="dxa" w:w="1138"/>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備考</w:t>
            </w:r>
          </w:p>
        </w:tc>
      </w:tr>
      <w:tr>
        <w:trPr>
          <w:tblHeader w:val="false"/>
        </w:trPr>
        <w:tc>
          <w:tcPr>
            <w:tcW w:type="dxa" w:w="13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A</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68.4%</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119,750,000</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55,250,000</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1,531,250</w:t>
            </w:r>
          </w:p>
        </w:tc>
        <w:tc>
          <w:tcPr>
            <w:tcW w:type="dxa" w:w="1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+0</w:t>
            </w:r>
          </w:p>
        </w:tc>
        <w:tc>
          <w:tcPr>
            <w:tcW w:type="dxa" w:w="11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案の範囲外（70%未満）</w:t>
            </w:r>
          </w:p>
        </w:tc>
      </w:tr>
      <w:tr>
        <w:trPr>
          <w:tblHeader w:val="false"/>
        </w:trPr>
        <w:tc>
          <w:tcPr>
            <w:tcW w:type="dxa" w:w="13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B</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70.0%</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122,500,000</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52,500,000</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1,583,500</w:t>
            </w:r>
          </w:p>
        </w:tc>
        <w:tc>
          <w:tcPr>
            <w:tcW w:type="dxa" w:w="1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+52,250</w:t>
            </w:r>
          </w:p>
        </w:tc>
        <w:tc>
          <w:tcPr>
            <w:tcW w:type="dxa" w:w="11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範囲内</w:t>
            </w:r>
          </w:p>
        </w:tc>
      </w:tr>
      <w:tr>
        <w:trPr>
          <w:tblHeader w:val="false"/>
        </w:trPr>
        <w:tc>
          <w:tcPr>
            <w:tcW w:type="dxa" w:w="13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C</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80.0%</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140,000,000</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35,000,000</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1,916,000</w:t>
            </w:r>
          </w:p>
        </w:tc>
        <w:tc>
          <w:tcPr>
            <w:tcW w:type="dxa" w:w="1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+384,750</w:t>
            </w:r>
          </w:p>
        </w:tc>
        <w:tc>
          <w:tcPr>
            <w:tcW w:type="dxa" w:w="11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範囲内</w:t>
            </w:r>
          </w:p>
        </w:tc>
      </w:tr>
      <w:tr>
        <w:trPr>
          <w:tblHeader w:val="false"/>
        </w:trPr>
        <w:tc>
          <w:tcPr>
            <w:tcW w:type="dxa" w:w="13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center"/>
            </w:pPr>
            <w:r>
              <w:rPr>
                <w:b/>
                <w:bCs/>
                <w:sz w:val="17"/>
                <w:szCs w:val="17"/>
                <w:rFonts w:ascii="游明朝" w:eastAsia="游明朝" w:hAnsi="游明朝" w:cs="游明朝"/>
              </w:rPr>
              <w:t xml:space="preserve">D</w:t>
            </w:r>
          </w:p>
        </w:tc>
        <w:tc>
          <w:tcPr>
            <w:tcW w:type="dxa" w:w="15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right"/>
            </w:pPr>
            <w:r>
              <w:rPr>
                <w:b/>
                <w:bCs/>
                <w:sz w:val="17"/>
                <w:szCs w:val="17"/>
                <w:rFonts w:ascii="游明朝" w:eastAsia="游明朝" w:hAnsi="游明朝" w:cs="游明朝"/>
              </w:rPr>
              <w:t xml:space="preserve">83.8%</w:t>
            </w:r>
          </w:p>
        </w:tc>
        <w:tc>
          <w:tcPr>
            <w:tcW w:type="dxa" w:w="15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right"/>
            </w:pPr>
            <w:r>
              <w:rPr>
                <w:b/>
                <w:bCs/>
                <w:sz w:val="17"/>
                <w:szCs w:val="17"/>
                <w:rFonts w:ascii="游明朝" w:eastAsia="游明朝" w:hAnsi="游明朝" w:cs="游明朝"/>
              </w:rPr>
              <w:t xml:space="preserve">146,580,000</w:t>
            </w:r>
          </w:p>
        </w:tc>
        <w:tc>
          <w:tcPr>
            <w:tcW w:type="dxa" w:w="15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right"/>
            </w:pPr>
            <w:r>
              <w:rPr>
                <w:b/>
                <w:bCs/>
                <w:sz w:val="17"/>
                <w:szCs w:val="17"/>
                <w:rFonts w:ascii="游明朝" w:eastAsia="游明朝" w:hAnsi="游明朝" w:cs="游明朝"/>
              </w:rPr>
              <w:t xml:space="preserve">28,420,000</w:t>
            </w:r>
          </w:p>
        </w:tc>
        <w:tc>
          <w:tcPr>
            <w:tcW w:type="dxa" w:w="15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right"/>
            </w:pPr>
            <w:r>
              <w:rPr>
                <w:b/>
                <w:bCs/>
                <w:sz w:val="17"/>
                <w:szCs w:val="17"/>
                <w:rFonts w:ascii="游明朝" w:eastAsia="游明朝" w:hAnsi="游明朝" w:cs="游明朝"/>
              </w:rPr>
              <w:t xml:space="preserve">2,041,020</w:t>
            </w:r>
          </w:p>
        </w:tc>
        <w:tc>
          <w:tcPr>
            <w:tcW w:type="dxa" w:w="12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right"/>
            </w:pPr>
            <w:r>
              <w:rPr>
                <w:b/>
                <w:bCs/>
                <w:sz w:val="17"/>
                <w:szCs w:val="17"/>
                <w:rFonts w:ascii="游明朝" w:eastAsia="游明朝" w:hAnsi="游明朝" w:cs="游明朝"/>
              </w:rPr>
              <w:t xml:space="preserve">+509,770</w:t>
            </w:r>
          </w:p>
        </w:tc>
        <w:tc>
          <w:tcPr>
            <w:tcW w:type="dxa" w:w="1138"/>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left"/>
            </w:pPr>
            <w:r>
              <w:rPr>
                <w:b/>
                <w:bCs/>
                <w:sz w:val="17"/>
                <w:szCs w:val="17"/>
                <w:rFonts w:ascii="游明朝" w:eastAsia="游明朝" w:hAnsi="游明朝" w:cs="游明朝"/>
              </w:rPr>
              <w:t xml:space="preserve">推奨</w:t>
            </w:r>
          </w:p>
        </w:tc>
      </w:tr>
      <w:tr>
        <w:trPr>
          <w:tblHeader w:val="false"/>
        </w:trPr>
        <w:tc>
          <w:tcPr>
            <w:tcW w:type="dxa" w:w="13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E</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90.0%</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157,500,000</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17,500,000</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2,248,500</w:t>
            </w:r>
          </w:p>
        </w:tc>
        <w:tc>
          <w:tcPr>
            <w:tcW w:type="dxa" w:w="1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+717,250</w:t>
            </w:r>
          </w:p>
        </w:tc>
        <w:tc>
          <w:tcPr>
            <w:tcW w:type="dxa" w:w="11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範囲内</w:t>
            </w:r>
          </w:p>
        </w:tc>
      </w:tr>
      <w:tr>
        <w:trPr>
          <w:tblHeader w:val="false"/>
        </w:trPr>
        <w:tc>
          <w:tcPr>
            <w:tcW w:type="dxa" w:w="13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F</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100.0%</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175,000,000</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0</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2,581,000</w:t>
            </w:r>
          </w:p>
        </w:tc>
        <w:tc>
          <w:tcPr>
            <w:tcW w:type="dxa" w:w="1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+1,049,750</w:t>
            </w:r>
          </w:p>
        </w:tc>
        <w:tc>
          <w:tcPr>
            <w:tcW w:type="dxa" w:w="11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案の範囲外（要改訂）</w:t>
            </w:r>
          </w:p>
        </w:tc>
      </w:tr>
    </w:tbl>
    <w:p>
      <w:pPr>
        <w:pStyle w:val="Heading2"/>
        <w:spacing w:before="200" w:after="100"/>
      </w:pPr>
      <w:r>
        <w:rPr>
          <w:b/>
          <w:bCs/>
          <w:sz w:val="23"/>
          <w:szCs w:val="23"/>
          <w:rFonts w:ascii="游ゴシック" w:eastAsia="游ゴシック" w:hAnsi="游ゴシック" w:cs="游ゴシック"/>
        </w:rPr>
        <w:t xml:space="preserve">4-2．各案の評価</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4200"/>
        <w:gridCol w:w="4238"/>
      </w:tblGrid>
      <w:tr>
        <w:trPr>
          <w:tblHeader/>
        </w:trPr>
        <w:tc>
          <w:tcPr>
            <w:tcW w:type="dxa" w:w="12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案</w:t>
            </w:r>
          </w:p>
        </w:tc>
        <w:tc>
          <w:tcPr>
            <w:tcW w:type="dxa" w:w="42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利点</w:t>
            </w:r>
          </w:p>
        </w:tc>
        <w:tc>
          <w:tcPr>
            <w:tcW w:type="dxa" w:w="4238"/>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留意点</w:t>
            </w:r>
          </w:p>
        </w:tc>
      </w:tr>
      <w:tr>
        <w:trPr>
          <w:tblHeader w:val="false"/>
        </w:trPr>
        <w:tc>
          <w:tcPr>
            <w:tcW w:type="dxa" w:w="1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A 現状維持</w:t>
            </w:r>
          </w:p>
        </w:tc>
        <w:tc>
          <w:tcPr>
            <w:tcW w:type="dxa" w:w="4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手続不要</w:t>
            </w:r>
          </w:p>
        </w:tc>
        <w:tc>
          <w:tcPr>
            <w:tcW w:type="dxa" w:w="42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ガイドライン（案）の下限70%を下回る。定期部分の利回り0.28%で、物価上昇下では実質価値が目減り</w:t>
            </w:r>
          </w:p>
        </w:tc>
      </w:tr>
      <w:tr>
        <w:trPr>
          <w:tblHeader w:val="false"/>
        </w:trPr>
        <w:tc>
          <w:tcPr>
            <w:tcW w:type="dxa" w:w="1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B 70%</w:t>
            </w:r>
          </w:p>
        </w:tc>
        <w:tc>
          <w:tcPr>
            <w:tcW w:type="dxa" w:w="4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最小限の変更で案の範囲内</w:t>
            </w:r>
          </w:p>
        </w:tc>
        <w:tc>
          <w:tcPr>
            <w:tcW w:type="dxa" w:w="42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増収効果が小さい（年 約5万円）</w:t>
            </w:r>
          </w:p>
        </w:tc>
      </w:tr>
      <w:tr>
        <w:trPr>
          <w:tblHeader w:val="false"/>
        </w:trPr>
        <w:tc>
          <w:tcPr>
            <w:tcW w:type="dxa" w:w="1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C 80%</w:t>
            </w:r>
          </w:p>
        </w:tc>
        <w:tc>
          <w:tcPr>
            <w:tcW w:type="dxa" w:w="4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案の範囲内。定期35,000,000円を残し流動性を確保</w:t>
            </w:r>
          </w:p>
        </w:tc>
        <w:tc>
          <w:tcPr>
            <w:tcW w:type="dxa" w:w="42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満期到来分のみで到達するには2027年5月まで待つ必要</w:t>
            </w:r>
          </w:p>
        </w:tc>
      </w:tr>
      <w:tr>
        <w:trPr>
          <w:tblHeader w:val="false"/>
        </w:trPr>
        <w:tc>
          <w:tcPr>
            <w:tcW w:type="dxa" w:w="12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left"/>
            </w:pPr>
            <w:r>
              <w:rPr>
                <w:b/>
                <w:bCs/>
                <w:sz w:val="17"/>
                <w:szCs w:val="17"/>
                <w:rFonts w:ascii="游明朝" w:eastAsia="游明朝" w:hAnsi="游明朝" w:cs="游明朝"/>
              </w:rPr>
              <w:t xml:space="preserve">D 約84%【推奨】</w:t>
            </w:r>
          </w:p>
        </w:tc>
        <w:tc>
          <w:tcPr>
            <w:tcW w:type="dxa" w:w="42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left"/>
            </w:pPr>
            <w:r>
              <w:rPr>
                <w:b/>
                <w:bCs/>
                <w:sz w:val="17"/>
                <w:szCs w:val="17"/>
                <w:rFonts w:ascii="游明朝" w:eastAsia="游明朝" w:hAnsi="游明朝" w:cs="游明朝"/>
              </w:rPr>
              <w:t xml:space="preserve">2027年3月末までに満期を迎える4口をそのまま振り替えるだけで到達。中途解約不要。群馬県協会と同水準。定期28,420,000円（16%）を流動性・再投資余力として保持</w:t>
            </w:r>
          </w:p>
        </w:tc>
        <w:tc>
          <w:tcPr>
            <w:tcW w:type="dxa" w:w="4238"/>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left"/>
            </w:pPr>
            <w:r>
              <w:rPr>
                <w:b/>
                <w:bCs/>
                <w:sz w:val="17"/>
                <w:szCs w:val="17"/>
                <w:rFonts w:ascii="游明朝" w:eastAsia="游明朝" w:hAnsi="游明朝" w:cs="游明朝"/>
              </w:rPr>
              <w:t xml:space="preserve">2027年5月・8月に満期を迎える定期（22,690,000円）の扱いを翌年度の見直しで決める必要</w:t>
            </w:r>
          </w:p>
        </w:tc>
      </w:tr>
      <w:tr>
        <w:trPr>
          <w:tblHeader w:val="false"/>
        </w:trPr>
        <w:tc>
          <w:tcPr>
            <w:tcW w:type="dxa" w:w="1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E 90%</w:t>
            </w:r>
          </w:p>
        </w:tc>
        <w:tc>
          <w:tcPr>
            <w:tcW w:type="dxa" w:w="4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案の上限まで収益性を高める</w:t>
            </w:r>
          </w:p>
        </w:tc>
        <w:tc>
          <w:tcPr>
            <w:tcW w:type="dxa" w:w="42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2027年5月の県信定期の一部解約または中途解約が必要</w:t>
            </w:r>
          </w:p>
        </w:tc>
      </w:tr>
      <w:tr>
        <w:trPr>
          <w:tblHeader w:val="false"/>
        </w:trPr>
        <w:tc>
          <w:tcPr>
            <w:tcW w:type="dxa" w:w="1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F 100%</w:t>
            </w:r>
          </w:p>
        </w:tc>
        <w:tc>
          <w:tcPr>
            <w:tcW w:type="dxa" w:w="4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収益性最大。栃木県協会に前例。関東委員会も前例ありと回答</w:t>
            </w:r>
          </w:p>
        </w:tc>
        <w:tc>
          <w:tcPr>
            <w:tcW w:type="dxa" w:w="42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ガイドライン（案）の目安を改訂する必要。定期をゼロにすると金利上昇時の再投資余力と緊急時の流動性を失う</w:t>
            </w:r>
          </w:p>
        </w:tc>
      </w:tr>
    </w:tbl>
    <w:p>
      <w:pPr>
        <w:pStyle w:val="Heading2"/>
        <w:spacing w:before="200" w:after="100"/>
      </w:pPr>
      <w:r>
        <w:rPr>
          <w:b/>
          <w:bCs/>
          <w:sz w:val="23"/>
          <w:szCs w:val="23"/>
          <w:rFonts w:ascii="游ゴシック" w:eastAsia="游ゴシック" w:hAnsi="游ゴシック" w:cs="游ゴシック"/>
        </w:rPr>
        <w:t xml:space="preserve">4-3．推奨案（D）の移行スケジュール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600"/>
        <w:gridCol w:w="1700"/>
        <w:gridCol w:w="1800"/>
        <w:gridCol w:w="1738"/>
      </w:tblGrid>
      <w:tr>
        <w:trPr>
          <w:tblHeader/>
        </w:trPr>
        <w:tc>
          <w:tcPr>
            <w:tcW w:type="dxa" w:w="18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満期日</w:t>
            </w:r>
          </w:p>
        </w:tc>
        <w:tc>
          <w:tcPr>
            <w:tcW w:type="dxa" w:w="26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預金</w:t>
            </w:r>
          </w:p>
        </w:tc>
        <w:tc>
          <w:tcPr>
            <w:tcW w:type="dxa" w:w="17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金額（円）</w:t>
            </w:r>
          </w:p>
        </w:tc>
        <w:tc>
          <w:tcPr>
            <w:tcW w:type="dxa" w:w="18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振替後の国債比率</w:t>
            </w:r>
          </w:p>
        </w:tc>
        <w:tc>
          <w:tcPr>
            <w:tcW w:type="dxa" w:w="1738"/>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備考</w:t>
            </w:r>
          </w:p>
        </w:tc>
      </w:tr>
      <w:tr>
        <w:trPr>
          <w:tblHeader w:val="false"/>
        </w:trPr>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2026.12.24</w:t>
            </w:r>
          </w:p>
        </w:tc>
        <w:tc>
          <w:tcPr>
            <w:tcW w:type="dxa" w:w="2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常陽銀行 2年定期 0.125%</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6,000,000</w:t>
            </w:r>
          </w:p>
        </w:tc>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71.9%</w:t>
            </w:r>
          </w:p>
        </w:tc>
        <w:tc>
          <w:tcPr>
            <w:tcW w:type="dxa" w:w="17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案の下限70%を超える</w:t>
            </w:r>
          </w:p>
        </w:tc>
      </w:tr>
      <w:tr>
        <w:trPr>
          <w:tblHeader w:val="false"/>
        </w:trPr>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2027.2.1／3.20</w:t>
            </w:r>
          </w:p>
        </w:tc>
        <w:tc>
          <w:tcPr>
            <w:tcW w:type="dxa" w:w="2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（国債償還）第469回・第346回</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20,000,000</w:t>
            </w:r>
          </w:p>
        </w:tc>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w:t>
            </w:r>
          </w:p>
        </w:tc>
        <w:tc>
          <w:tcPr>
            <w:tcW w:type="dxa" w:w="17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同額を新規国債に再投資（利率 0.7%・0.1% → 約2.2%）</w:t>
            </w:r>
          </w:p>
        </w:tc>
      </w:tr>
      <w:tr>
        <w:trPr>
          <w:tblHeader w:val="false"/>
        </w:trPr>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2027.2.19</w:t>
            </w:r>
          </w:p>
        </w:tc>
        <w:tc>
          <w:tcPr>
            <w:tcW w:type="dxa" w:w="2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県信 1年定期 0.275%</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5,730,000</w:t>
            </w:r>
          </w:p>
        </w:tc>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75.1%</w:t>
            </w:r>
          </w:p>
        </w:tc>
        <w:tc>
          <w:tcPr>
            <w:tcW w:type="dxa" w:w="17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r>
          </w:p>
        </w:tc>
      </w:tr>
      <w:tr>
        <w:trPr>
          <w:tblHeader w:val="false"/>
        </w:trPr>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2027.3.23</w:t>
            </w:r>
          </w:p>
        </w:tc>
        <w:tc>
          <w:tcPr>
            <w:tcW w:type="dxa" w:w="2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常陽銀行 1年定期 0.4%</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3,000,000</w:t>
            </w:r>
          </w:p>
        </w:tc>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76.8%</w:t>
            </w:r>
          </w:p>
        </w:tc>
        <w:tc>
          <w:tcPr>
            <w:tcW w:type="dxa" w:w="17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r>
          </w:p>
        </w:tc>
      </w:tr>
      <w:tr>
        <w:trPr>
          <w:tblHeader w:val="false"/>
        </w:trPr>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2027.3.28</w:t>
            </w:r>
          </w:p>
        </w:tc>
        <w:tc>
          <w:tcPr>
            <w:tcW w:type="dxa" w:w="2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常陽銀行 1年定期 0.275%</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12,100,000</w:t>
            </w:r>
          </w:p>
        </w:tc>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83.8%</w:t>
            </w:r>
          </w:p>
        </w:tc>
        <w:tc>
          <w:tcPr>
            <w:tcW w:type="dxa" w:w="17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目標到達</w:t>
            </w:r>
          </w:p>
        </w:tc>
      </w:tr>
      <w:tr>
        <w:trPr>
          <w:tblHeader w:val="false"/>
        </w:trPr>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2027.5.22</w:t>
            </w:r>
          </w:p>
        </w:tc>
        <w:tc>
          <w:tcPr>
            <w:tcW w:type="dxa" w:w="2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県信 1年大口定期 0.275%</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21,190,000</w:t>
            </w:r>
          </w:p>
        </w:tc>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（保持）</w:t>
            </w:r>
          </w:p>
        </w:tc>
        <w:tc>
          <w:tcPr>
            <w:tcW w:type="dxa" w:w="17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翌年度見直しで判断</w:t>
            </w:r>
          </w:p>
        </w:tc>
      </w:tr>
      <w:tr>
        <w:trPr>
          <w:tblHeader w:val="false"/>
        </w:trPr>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2027.8.7</w:t>
            </w:r>
          </w:p>
        </w:tc>
        <w:tc>
          <w:tcPr>
            <w:tcW w:type="dxa" w:w="2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常陽銀行 1年定期 0.275%</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1,500,000</w:t>
            </w:r>
          </w:p>
        </w:tc>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（保持）</w:t>
            </w:r>
          </w:p>
        </w:tc>
        <w:tc>
          <w:tcPr>
            <w:tcW w:type="dxa" w:w="17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同上</w:t>
            </w:r>
          </w:p>
        </w:tc>
      </w:tr>
      <w:tr>
        <w:trPr>
          <w:tblHeader w:val="false"/>
        </w:trPr>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2030.9.17</w:t>
            </w:r>
          </w:p>
        </w:tc>
        <w:tc>
          <w:tcPr>
            <w:tcW w:type="dxa" w:w="2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常陽銀行 5年定期 0.4%</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7"/>
                <w:szCs w:val="17"/>
                <w:rFonts w:ascii="游明朝" w:eastAsia="游明朝" w:hAnsi="游明朝" w:cs="游明朝"/>
              </w:rPr>
              <w:t xml:space="preserve">5,730,000</w:t>
            </w:r>
          </w:p>
        </w:tc>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7"/>
                <w:szCs w:val="17"/>
                <w:rFonts w:ascii="游明朝" w:eastAsia="游明朝" w:hAnsi="游明朝" w:cs="游明朝"/>
              </w:rPr>
              <w:t xml:space="preserve">（保持）</w:t>
            </w:r>
          </w:p>
        </w:tc>
        <w:tc>
          <w:tcPr>
            <w:tcW w:type="dxa" w:w="17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同上</w:t>
            </w:r>
          </w:p>
        </w:tc>
      </w:tr>
    </w:tbl>
    <w:p>
      <w:pPr>
        <w:spacing w:after="100" w:line="300"/>
      </w:pPr>
      <w:r>
        <w:rPr>
          <w:b/>
          <w:bCs/>
          <w:sz w:val="21"/>
          <w:szCs w:val="21"/>
          <w:rFonts w:ascii="游明朝" w:eastAsia="游明朝" w:hAnsi="游明朝" w:cs="游明朝"/>
        </w:rPr>
        <w:t xml:space="preserve">中途解約による前倒しについて　</w:t>
      </w:r>
      <w:r>
        <w:rPr>
          <w:sz w:val="21"/>
          <w:szCs w:val="21"/>
          <w:rFonts w:ascii="游明朝" w:eastAsia="游明朝" w:hAnsi="游明朝" w:cs="游明朝"/>
        </w:rPr>
        <w:t xml:space="preserve">上記4口（26,830,000円）を満期を待たず直ちに振り替えた場合の追加利息は、金利差約1.9%×平均残存約4か月で概算約17万円である。スーパー定期・大口定期の中途解約利率は多くの銀行で「解約日の普通預金利率」を下限としており（千葉銀行・北陸銀行等の公表資料）、常陽銀行の普通預金利率が0.3%であれば、契約利率0.275%の定期を中途解約しても利息面の不利益はほぼ生じない可能性がある。ただし常陽銀行・茨城県信用組合の中途解約規定は本資料作成時点で確認できていないため、各行に照会のうえ判断する。</w:t>
      </w:r>
    </w:p>
    <w:p>
      <w:r>
        <w:br w:type="page"/>
      </w:r>
    </w:p>
    <w:p>
      <w:pPr>
        <w:pStyle w:val="Heading1"/>
        <w:spacing w:before="280" w:after="140"/>
      </w:pPr>
      <w:r>
        <w:rPr>
          <w:b/>
          <w:bCs/>
          <w:sz w:val="28"/>
          <w:szCs w:val="28"/>
          <w:rFonts w:ascii="游ゴシック" w:eastAsia="游ゴシック" w:hAnsi="游ゴシック" w:cs="游ゴシック"/>
        </w:rPr>
        <w:t xml:space="preserve">5．償還年限の分散（ラダー）案</w:t>
      </w:r>
    </w:p>
    <w:p>
      <w:pPr>
        <w:spacing w:after="100" w:line="300"/>
      </w:pPr>
      <w:r>
        <w:rPr>
          <w:sz w:val="21"/>
          <w:szCs w:val="21"/>
          <w:rFonts w:ascii="游明朝" w:eastAsia="游明朝" w:hAnsi="游明朝" w:cs="游明朝"/>
        </w:rPr>
        <w:t xml:space="preserve">2026年12月〜2027年5月に国債へ振り替える資金（定期からの26,830,000円と償還国債の再投資20,000,000円、合計46,830,000円）は、2030年への集中を避けるため、次のように年限を分散して購入することを提案する。新窓販国債の年限は2年・5年・10年の3種類であり、3年・7年等は既発債で補完でき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000"/>
        <w:gridCol w:w="2000"/>
        <w:gridCol w:w="1800"/>
        <w:gridCol w:w="1838"/>
      </w:tblGrid>
      <w:tr>
        <w:trPr>
          <w:tblHeader/>
        </w:trPr>
        <w:tc>
          <w:tcPr>
            <w:tcW w:type="dxa" w:w="20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8"/>
                <w:szCs w:val="18"/>
                <w:rFonts w:ascii="游ゴシック" w:eastAsia="游ゴシック" w:hAnsi="游ゴシック" w:cs="游ゴシック"/>
              </w:rPr>
              <w:t xml:space="preserve">年限</w:t>
            </w:r>
          </w:p>
        </w:tc>
        <w:tc>
          <w:tcPr>
            <w:tcW w:type="dxa" w:w="20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8"/>
                <w:szCs w:val="18"/>
                <w:rFonts w:ascii="游ゴシック" w:eastAsia="游ゴシック" w:hAnsi="游ゴシック" w:cs="游ゴシック"/>
              </w:rPr>
              <w:t xml:space="preserve">償還年</w:t>
            </w:r>
          </w:p>
        </w:tc>
        <w:tc>
          <w:tcPr>
            <w:tcW w:type="dxa" w:w="20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8"/>
                <w:szCs w:val="18"/>
                <w:rFonts w:ascii="游ゴシック" w:eastAsia="游ゴシック" w:hAnsi="游ゴシック" w:cs="游ゴシック"/>
              </w:rPr>
              <w:t xml:space="preserve">購入額（円）</w:t>
            </w:r>
          </w:p>
        </w:tc>
        <w:tc>
          <w:tcPr>
            <w:tcW w:type="dxa" w:w="18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8"/>
                <w:szCs w:val="18"/>
                <w:rFonts w:ascii="游ゴシック" w:eastAsia="游ゴシック" w:hAnsi="游ゴシック" w:cs="游ゴシック"/>
              </w:rPr>
              <w:t xml:space="preserve">利回り目安</w:t>
            </w:r>
          </w:p>
        </w:tc>
        <w:tc>
          <w:tcPr>
            <w:tcW w:type="dxa" w:w="1838"/>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8"/>
                <w:szCs w:val="18"/>
                <w:rFonts w:ascii="游ゴシック" w:eastAsia="游ゴシック" w:hAnsi="游ゴシック" w:cs="游ゴシック"/>
              </w:rPr>
              <w:t xml:space="preserve">備考</w:t>
            </w:r>
          </w:p>
        </w:tc>
      </w:tr>
      <w:tr>
        <w:trPr>
          <w:tblHeader w:val="false"/>
        </w:trPr>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8"/>
                <w:szCs w:val="18"/>
                <w:rFonts w:ascii="游明朝" w:eastAsia="游明朝" w:hAnsi="游明朝" w:cs="游明朝"/>
              </w:rPr>
              <w:t xml:space="preserve">2年</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8"/>
                <w:szCs w:val="18"/>
                <w:rFonts w:ascii="游明朝" w:eastAsia="游明朝" w:hAnsi="游明朝" w:cs="游明朝"/>
              </w:rPr>
              <w:t xml:space="preserve">2028〜2029年</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8"/>
                <w:szCs w:val="18"/>
                <w:rFonts w:ascii="游明朝" w:eastAsia="游明朝" w:hAnsi="游明朝" w:cs="游明朝"/>
              </w:rPr>
              <w:t xml:space="preserve">10,000,000</w:t>
            </w:r>
          </w:p>
        </w:tc>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8"/>
                <w:szCs w:val="18"/>
                <w:rFonts w:ascii="游明朝" w:eastAsia="游明朝" w:hAnsi="游明朝" w:cs="游明朝"/>
              </w:rPr>
              <w:t xml:space="preserve">1.82%</w:t>
            </w:r>
          </w:p>
        </w:tc>
        <w:tc>
          <w:tcPr>
            <w:tcW w:type="dxa" w:w="18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2026.9.10 2年国債利回り</w:t>
            </w:r>
          </w:p>
        </w:tc>
      </w:tr>
      <w:tr>
        <w:trPr>
          <w:tblHeader w:val="false"/>
        </w:trPr>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8"/>
                <w:szCs w:val="18"/>
                <w:rFonts w:ascii="游明朝" w:eastAsia="游明朝" w:hAnsi="游明朝" w:cs="游明朝"/>
              </w:rPr>
              <w:t xml:space="preserve">5年</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8"/>
                <w:szCs w:val="18"/>
                <w:rFonts w:ascii="游明朝" w:eastAsia="游明朝" w:hAnsi="游明朝" w:cs="游明朝"/>
              </w:rPr>
              <w:t xml:space="preserve">2031〜2032年</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8"/>
                <w:szCs w:val="18"/>
                <w:rFonts w:ascii="游明朝" w:eastAsia="游明朝" w:hAnsi="游明朝" w:cs="游明朝"/>
              </w:rPr>
              <w:t xml:space="preserve">20,000,000</w:t>
            </w:r>
          </w:p>
        </w:tc>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8"/>
                <w:szCs w:val="18"/>
                <w:rFonts w:ascii="游明朝" w:eastAsia="游明朝" w:hAnsi="游明朝" w:cs="游明朝"/>
              </w:rPr>
              <w:t xml:space="preserve">2.22%</w:t>
            </w:r>
          </w:p>
        </w:tc>
        <w:tc>
          <w:tcPr>
            <w:tcW w:type="dxa" w:w="18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同 5年国債利回り</w:t>
            </w:r>
          </w:p>
        </w:tc>
      </w:tr>
      <w:tr>
        <w:trPr>
          <w:tblHeader w:val="false"/>
        </w:trPr>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8"/>
                <w:szCs w:val="18"/>
                <w:rFonts w:ascii="游明朝" w:eastAsia="游明朝" w:hAnsi="游明朝" w:cs="游明朝"/>
              </w:rPr>
              <w:t xml:space="preserve">10年</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8"/>
                <w:szCs w:val="18"/>
                <w:rFonts w:ascii="游明朝" w:eastAsia="游明朝" w:hAnsi="游明朝" w:cs="游明朝"/>
              </w:rPr>
              <w:t xml:space="preserve">2036〜2037年</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right"/>
            </w:pPr>
            <w:r>
              <w:rPr>
                <w:b w:val="false"/>
                <w:bCs w:val="false"/>
                <w:sz w:val="18"/>
                <w:szCs w:val="18"/>
                <w:rFonts w:ascii="游明朝" w:eastAsia="游明朝" w:hAnsi="游明朝" w:cs="游明朝"/>
              </w:rPr>
              <w:t xml:space="preserve">16,830,000</w:t>
            </w:r>
          </w:p>
        </w:tc>
        <w:tc>
          <w:tcPr>
            <w:tcW w:type="dxa" w:w="1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center"/>
            </w:pPr>
            <w:r>
              <w:rPr>
                <w:b w:val="false"/>
                <w:bCs w:val="false"/>
                <w:sz w:val="18"/>
                <w:szCs w:val="18"/>
                <w:rFonts w:ascii="游明朝" w:eastAsia="游明朝" w:hAnsi="游明朝" w:cs="游明朝"/>
              </w:rPr>
              <w:t xml:space="preserve">2.98%</w:t>
            </w:r>
          </w:p>
        </w:tc>
        <w:tc>
          <w:tcPr>
            <w:tcW w:type="dxa" w:w="18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8"/>
                <w:szCs w:val="18"/>
                <w:rFonts w:ascii="游明朝" w:eastAsia="游明朝" w:hAnsi="游明朝" w:cs="游明朝"/>
              </w:rPr>
              <w:t xml:space="preserve">同 10年国債利回り</w:t>
            </w:r>
          </w:p>
        </w:tc>
      </w:tr>
      <w:tr>
        <w:trPr>
          <w:tblHeader w:val="false"/>
        </w:trPr>
        <w:tc>
          <w:tcPr>
            <w:tcW w:type="dxa" w:w="20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center"/>
            </w:pPr>
            <w:r>
              <w:rPr>
                <w:b/>
                <w:bCs/>
                <w:sz w:val="18"/>
                <w:szCs w:val="18"/>
                <w:rFonts w:ascii="游明朝" w:eastAsia="游明朝" w:hAnsi="游明朝" w:cs="游明朝"/>
              </w:rPr>
              <w:t xml:space="preserve">計</w:t>
            </w:r>
          </w:p>
        </w:tc>
        <w:tc>
          <w:tcPr>
            <w:tcW w:type="dxa" w:w="20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center"/>
            </w:pPr>
            <w:r>
              <w:rPr>
                <w:b/>
                <w:bCs/>
                <w:sz w:val="18"/>
                <w:szCs w:val="18"/>
                <w:rFonts w:ascii="游明朝" w:eastAsia="游明朝" w:hAnsi="游明朝" w:cs="游明朝"/>
              </w:rPr>
            </w:r>
          </w:p>
        </w:tc>
        <w:tc>
          <w:tcPr>
            <w:tcW w:type="dxa" w:w="20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right"/>
            </w:pPr>
            <w:r>
              <w:rPr>
                <w:b/>
                <w:bCs/>
                <w:sz w:val="18"/>
                <w:szCs w:val="18"/>
                <w:rFonts w:ascii="游明朝" w:eastAsia="游明朝" w:hAnsi="游明朝" w:cs="游明朝"/>
              </w:rPr>
              <w:t xml:space="preserve">46,830,000</w:t>
            </w:r>
          </w:p>
        </w:tc>
        <w:tc>
          <w:tcPr>
            <w:tcW w:type="dxa" w:w="1800"/>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center"/>
            </w:pPr>
            <w:r>
              <w:rPr>
                <w:b/>
                <w:bCs/>
                <w:sz w:val="18"/>
                <w:szCs w:val="18"/>
                <w:rFonts w:ascii="游明朝" w:eastAsia="游明朝" w:hAnsi="游明朝" w:cs="游明朝"/>
              </w:rPr>
              <w:t xml:space="preserve">加重平均 約2.41%</w:t>
            </w:r>
          </w:p>
        </w:tc>
        <w:tc>
          <w:tcPr>
            <w:tcW w:type="dxa" w:w="1838"/>
            <w:tcBorders>
              <w:top w:val="single" w:color="888888" w:sz="4"/>
              <w:left w:val="single" w:color="888888" w:sz="4"/>
              <w:bottom w:val="single" w:color="888888" w:sz="4"/>
              <w:right w:val="single" w:color="888888" w:sz="4"/>
            </w:tcBorders>
            <w:shd w:fill="F2F2F2" w:color="auto" w:val="clear"/>
            <w:tcMar>
              <w:top w:type="dxa" w:w="40"/>
              <w:left w:type="dxa" w:w="80"/>
              <w:bottom w:type="dxa" w:w="40"/>
              <w:right w:type="dxa" w:w="80"/>
            </w:tcMar>
            <w:vAlign w:val="center"/>
          </w:tcPr>
          <w:p>
            <w:pPr>
              <w:spacing w:after="0" w:line="260"/>
              <w:jc w:val="left"/>
            </w:pPr>
            <w:r>
              <w:rPr>
                <w:b/>
                <w:bCs/>
                <w:sz w:val="18"/>
                <w:szCs w:val="18"/>
                <w:rFonts w:ascii="游明朝" w:eastAsia="游明朝" w:hAnsi="游明朝" w:cs="游明朝"/>
              </w:rPr>
              <w:t xml:space="preserve">4-1の試算（2.2%）より保守的</w:t>
            </w:r>
          </w:p>
        </w:tc>
      </w:tr>
    </w:tbl>
    <w:p>
      <w:pPr>
        <w:spacing w:after="100" w:line="300"/>
      </w:pPr>
      <w:r>
        <w:rPr>
          <w:b/>
          <w:bCs/>
          <w:sz w:val="21"/>
          <w:szCs w:val="21"/>
          <w:rFonts w:ascii="游明朝" w:eastAsia="游明朝" w:hAnsi="游明朝" w:cs="游明朝"/>
        </w:rPr>
        <w:t xml:space="preserve">運用ルールの提案　</w:t>
      </w:r>
      <w:r>
        <w:rPr>
          <w:sz w:val="21"/>
          <w:szCs w:val="21"/>
          <w:rFonts w:ascii="游明朝" w:eastAsia="游明朝" w:hAnsi="游明朝" w:cs="游明朝"/>
        </w:rPr>
        <w:t xml:space="preserve">「同一年に償還を迎える基本財産の額は、原則として基本財産総額の25%以下とする」旨をガイドライン第4条に追記する。2030年償還分（99,750,000円）は償還時に2031年以降へ分散して再投資する。</w:t>
      </w:r>
    </w:p>
    <w:p>
      <w:pPr>
        <w:spacing w:after="100" w:line="300"/>
      </w:pPr>
      <w:r>
        <w:rPr>
          <w:sz w:val="21"/>
          <w:szCs w:val="21"/>
          <w:rFonts w:ascii="游明朝" w:eastAsia="游明朝" w:hAnsi="游明朝" w:cs="游明朝"/>
        </w:rPr>
        <w:t xml:space="preserve">なお、10年債は金利上昇局面で評価損が生じ得るが、ガイドライン（案）第4条(3)のとおり原則満期保有であり、額面での償還が国により保証されるため、元本保全の観点では問題とならない。</w:t>
      </w:r>
    </w:p>
    <w:p>
      <w:pPr>
        <w:pStyle w:val="Heading1"/>
        <w:spacing w:before="280" w:after="140"/>
      </w:pPr>
      <w:r>
        <w:rPr>
          <w:b/>
          <w:bCs/>
          <w:sz w:val="28"/>
          <w:szCs w:val="28"/>
          <w:rFonts w:ascii="游ゴシック" w:eastAsia="游ゴシック" w:hAnsi="游ゴシック" w:cs="游ゴシック"/>
        </w:rPr>
        <w:t xml:space="preserve">6．金融機関の選定手順（ガイドライン第8条）</w:t>
      </w:r>
    </w:p>
    <w:p>
      <w:pPr>
        <w:spacing w:after="100" w:line="300"/>
      </w:pPr>
      <w:r>
        <w:rPr>
          <w:sz w:val="21"/>
          <w:szCs w:val="21"/>
          <w:rFonts w:ascii="游明朝" w:eastAsia="游明朝" w:hAnsi="游明朝" w:cs="游明朝"/>
        </w:rPr>
        <w:t xml:space="preserve">次の各社に同一条件で提示を依頼し、比較表を作成して選定記録とする。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400"/>
        <w:gridCol w:w="4838"/>
      </w:tblGrid>
      <w:tr>
        <w:trPr>
          <w:tblHeader/>
        </w:trPr>
        <w:tc>
          <w:tcPr>
            <w:tcW w:type="dxa" w:w="24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金融機関</w:t>
            </w:r>
          </w:p>
        </w:tc>
        <w:tc>
          <w:tcPr>
            <w:tcW w:type="dxa" w:w="24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現在の取引</w:t>
            </w:r>
          </w:p>
        </w:tc>
        <w:tc>
          <w:tcPr>
            <w:tcW w:type="dxa" w:w="4838"/>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確認事項</w:t>
            </w:r>
          </w:p>
        </w:tc>
      </w:tr>
      <w:tr>
        <w:trPr>
          <w:tblHeader w:val="false"/>
        </w:trPr>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野村證券 水戸支店</w:t>
            </w:r>
          </w:p>
        </w:tc>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国債 84,500,000円を保護預り</w:t>
            </w:r>
          </w:p>
        </w:tc>
        <w:tc>
          <w:tcPr>
            <w:tcW w:type="dxa" w:w="48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国債の提示価格（既発債）、新窓販国債の取扱い、保護預り料、法人口座の事務体制</w:t>
            </w:r>
          </w:p>
        </w:tc>
      </w:tr>
      <w:tr>
        <w:trPr>
          <w:tblHeader w:val="false"/>
        </w:trPr>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常陽銀行 本店</w:t>
            </w:r>
          </w:p>
        </w:tc>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国債 35,250,000円、定期 28,330,000円、各種口座</w:t>
            </w:r>
          </w:p>
        </w:tc>
        <w:tc>
          <w:tcPr>
            <w:tcW w:type="dxa" w:w="48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新窓販国債の取扱い、中途解約利率、定期の店頭金利・法人向け特別金利</w:t>
            </w:r>
          </w:p>
        </w:tc>
      </w:tr>
      <w:tr>
        <w:trPr>
          <w:tblHeader w:val="false"/>
        </w:trPr>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茨城県信用組合 本店</w:t>
            </w:r>
          </w:p>
        </w:tc>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定期 26,920,000円</w:t>
            </w:r>
          </w:p>
        </w:tc>
        <w:tc>
          <w:tcPr>
            <w:tcW w:type="dxa" w:w="48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国債の取扱いの有無、中途解約利率、定期の金利。国債を扱えない場合は預け替え先の検討</w:t>
            </w:r>
          </w:p>
        </w:tc>
      </w:tr>
      <w:tr>
        <w:trPr>
          <w:tblHeader w:val="false"/>
        </w:trPr>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めぶき証券</w:t>
            </w:r>
          </w:p>
        </w:tc>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投資信託 10,000,000円（通常財産）</w:t>
            </w:r>
          </w:p>
        </w:tc>
        <w:tc>
          <w:tcPr>
            <w:tcW w:type="dxa" w:w="48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国債の提示価格、保護預り料、投資信託の評価額報告</w:t>
            </w:r>
          </w:p>
        </w:tc>
      </w:tr>
    </w:tbl>
    <w:p>
      <w:pPr>
        <w:spacing w:after="100" w:line="300"/>
      </w:pPr>
      <w:r>
        <w:rPr>
          <w:sz w:val="21"/>
          <w:szCs w:val="21"/>
          <w:rFonts w:ascii="游明朝" w:eastAsia="游明朝" w:hAnsi="游明朝" w:cs="游明朝"/>
        </w:rPr>
        <w:t xml:space="preserve">評価項目（ガイドライン第8条(2)）：①利回り及び価格、②信用力、③手数料、④保護預り費用、⑤事務処理体制、⑥情報提供・アフターサービス、⑦更生保護活動への理解及び協力内容。⑦のみをもって選定しないことを申し合わせる。</w:t>
      </w:r>
    </w:p>
    <w:p>
      <w:pPr>
        <w:pStyle w:val="Heading1"/>
        <w:spacing w:before="280" w:after="140"/>
      </w:pPr>
      <w:r>
        <w:rPr>
          <w:b/>
          <w:bCs/>
          <w:sz w:val="28"/>
          <w:szCs w:val="28"/>
          <w:rFonts w:ascii="游ゴシック" w:eastAsia="游ゴシック" w:hAnsi="游ゴシック" w:cs="游ゴシック"/>
        </w:rPr>
        <w:t xml:space="preserve">7．手続きとスケジュール（案）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600"/>
        <w:gridCol w:w="3838"/>
      </w:tblGrid>
      <w:tr>
        <w:trPr>
          <w:tblHeader/>
        </w:trPr>
        <w:tc>
          <w:tcPr>
            <w:tcW w:type="dxa" w:w="22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時期</w:t>
            </w:r>
          </w:p>
        </w:tc>
        <w:tc>
          <w:tcPr>
            <w:tcW w:type="dxa" w:w="36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手続き</w:t>
            </w:r>
          </w:p>
        </w:tc>
        <w:tc>
          <w:tcPr>
            <w:tcW w:type="dxa" w:w="3838"/>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備考</w:t>
            </w:r>
          </w:p>
        </w:tc>
      </w:tr>
      <w:tr>
        <w:trPr>
          <w:tblHeader w:val="false"/>
        </w:trPr>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2026年9月17日又は18日</w:t>
            </w:r>
          </w:p>
        </w:tc>
        <w:tc>
          <w:tcPr>
            <w:tcW w:type="dxa" w:w="3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本検討会：配分目標・移行方法・分散ルール・条件提示先の決定、基本方針・ガイドラインの文言確定</w:t>
            </w:r>
          </w:p>
        </w:tc>
        <w:tc>
          <w:tcPr>
            <w:tcW w:type="dxa" w:w="38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本資料10節の諮問事項</w:t>
            </w:r>
          </w:p>
        </w:tc>
      </w:tr>
      <w:tr>
        <w:trPr>
          <w:tblHeader w:val="false"/>
        </w:trPr>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2026年9月〜10月</w:t>
            </w:r>
          </w:p>
        </w:tc>
        <w:tc>
          <w:tcPr>
            <w:tcW w:type="dxa" w:w="3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各金融機関へ条件提示を依頼、比較表の作成</w:t>
            </w:r>
          </w:p>
        </w:tc>
        <w:tc>
          <w:tcPr>
            <w:tcW w:type="dxa" w:w="38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事務局・梶副理事長・鈴木理事</w:t>
            </w:r>
          </w:p>
        </w:tc>
      </w:tr>
      <w:tr>
        <w:trPr>
          <w:tblHeader w:val="false"/>
        </w:trPr>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2026年10月〜11月</w:t>
            </w:r>
          </w:p>
        </w:tc>
        <w:tc>
          <w:tcPr>
            <w:tcW w:type="dxa" w:w="3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理事会：基本方針・ガイドラインの承認、基本財産の配分変更の承認</w:t>
            </w:r>
          </w:p>
        </w:tc>
        <w:tc>
          <w:tcPr>
            <w:tcW w:type="dxa" w:w="38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定款が評議員会の議決を要する場合は評議員会も開催</w:t>
            </w:r>
          </w:p>
        </w:tc>
      </w:tr>
      <w:tr>
        <w:trPr>
          <w:tblHeader w:val="false"/>
        </w:trPr>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理事会承認後 速やかに</w:t>
            </w:r>
          </w:p>
        </w:tc>
        <w:tc>
          <w:tcPr>
            <w:tcW w:type="dxa" w:w="3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関東地方更生保護委員会へ定款変更の認可申請（必要な場合）</w:t>
            </w:r>
          </w:p>
        </w:tc>
        <w:tc>
          <w:tcPr>
            <w:tcW w:type="dxa" w:w="38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更生保護事業法上、定款の変更は法務大臣の認可（地方更生保護委員会へ委任）を受けなければ効力を生じない。協会定款に基本財産の内訳が記載されているか要確認</w:t>
            </w:r>
          </w:p>
        </w:tc>
      </w:tr>
      <w:tr>
        <w:trPr>
          <w:tblHeader w:val="false"/>
        </w:trPr>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2026年12月24日〜</w:t>
            </w:r>
          </w:p>
        </w:tc>
        <w:tc>
          <w:tcPr>
            <w:tcW w:type="dxa" w:w="3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満期到来分から順次、国債へ振替</w:t>
            </w:r>
          </w:p>
        </w:tc>
        <w:tc>
          <w:tcPr>
            <w:tcW w:type="dxa" w:w="38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4-3のスケジュール</w:t>
            </w:r>
          </w:p>
        </w:tc>
      </w:tr>
      <w:tr>
        <w:trPr>
          <w:tblHeader w:val="false"/>
        </w:trPr>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2027年5月 理事会</w:t>
            </w:r>
          </w:p>
        </w:tc>
        <w:tc>
          <w:tcPr>
            <w:tcW w:type="dxa" w:w="3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運用状況の報告（ガイドライン第10条）、翌年度の配分見直し</w:t>
            </w:r>
          </w:p>
        </w:tc>
        <w:tc>
          <w:tcPr>
            <w:tcW w:type="dxa" w:w="38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残る定期 28,420,000円の扱いを決定</w:t>
            </w:r>
          </w:p>
        </w:tc>
      </w:tr>
    </w:tbl>
    <w:p>
      <w:r>
        <w:br w:type="page"/>
      </w:r>
    </w:p>
    <w:p>
      <w:pPr>
        <w:pStyle w:val="Heading1"/>
        <w:spacing w:before="280" w:after="140"/>
      </w:pPr>
      <w:r>
        <w:rPr>
          <w:b/>
          <w:bCs/>
          <w:sz w:val="28"/>
          <w:szCs w:val="28"/>
          <w:rFonts w:ascii="游ゴシック" w:eastAsia="游ゴシック" w:hAnsi="游ゴシック" w:cs="游ゴシック"/>
        </w:rPr>
        <w:t xml:space="preserve">8．基本方針（案）・ガイドライン（案）の修正提案（誤記等）</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3200"/>
        <w:gridCol w:w="3200"/>
        <w:gridCol w:w="1638"/>
      </w:tblGrid>
      <w:tr>
        <w:trPr>
          <w:tblHeader/>
        </w:trPr>
        <w:tc>
          <w:tcPr>
            <w:tcW w:type="dxa" w:w="16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文書・条項</w:t>
            </w:r>
          </w:p>
        </w:tc>
        <w:tc>
          <w:tcPr>
            <w:tcW w:type="dxa" w:w="32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現行の記載</w:t>
            </w:r>
          </w:p>
        </w:tc>
        <w:tc>
          <w:tcPr>
            <w:tcW w:type="dxa" w:w="32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修正案</w:t>
            </w:r>
          </w:p>
        </w:tc>
        <w:tc>
          <w:tcPr>
            <w:tcW w:type="dxa" w:w="1638"/>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7"/>
                <w:szCs w:val="17"/>
                <w:rFonts w:ascii="游ゴシック" w:eastAsia="游ゴシック" w:hAnsi="游ゴシック" w:cs="游ゴシック"/>
              </w:rPr>
              <w:t xml:space="preserve">理由</w:t>
            </w:r>
          </w:p>
        </w:tc>
      </w:tr>
      <w:tr>
        <w:trPr>
          <w:tblHeader w:val="false"/>
        </w:trPr>
        <w:tc>
          <w:tcPr>
            <w:tcW w:type="dxa" w:w="1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基本方針 第6条</w:t>
            </w:r>
          </w:p>
        </w:tc>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原則とし複数の金融機関</w:t>
            </w:r>
          </w:p>
        </w:tc>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原則として複数の金融機関</w:t>
            </w:r>
          </w:p>
        </w:tc>
        <w:tc>
          <w:tcPr>
            <w:tcW w:type="dxa" w:w="1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脱字</w:t>
            </w:r>
          </w:p>
        </w:tc>
      </w:tr>
      <w:tr>
        <w:trPr>
          <w:tblHeader w:val="false"/>
        </w:trPr>
        <w:tc>
          <w:tcPr>
            <w:tcW w:type="dxa" w:w="1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基本方針 第4条</w:t>
            </w:r>
          </w:p>
        </w:tc>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分散型投信信託等</w:t>
            </w:r>
          </w:p>
        </w:tc>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分散型投資信託等</w:t>
            </w:r>
          </w:p>
        </w:tc>
        <w:tc>
          <w:tcPr>
            <w:tcW w:type="dxa" w:w="1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誤記</w:t>
            </w:r>
          </w:p>
        </w:tc>
      </w:tr>
      <w:tr>
        <w:trPr>
          <w:tblHeader w:val="false"/>
        </w:trPr>
        <w:tc>
          <w:tcPr>
            <w:tcW w:type="dxa" w:w="1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ガイドライン 2(2)</w:t>
            </w:r>
          </w:p>
        </w:tc>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一定の価格変動リスクを伴う記入商品</w:t>
            </w:r>
          </w:p>
        </w:tc>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一定の価格変動リスクを伴う金融商品</w:t>
            </w:r>
          </w:p>
        </w:tc>
        <w:tc>
          <w:tcPr>
            <w:tcW w:type="dxa" w:w="1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誤記</w:t>
            </w:r>
          </w:p>
        </w:tc>
      </w:tr>
      <w:tr>
        <w:trPr>
          <w:tblHeader w:val="false"/>
        </w:trPr>
        <w:tc>
          <w:tcPr>
            <w:tcW w:type="dxa" w:w="1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ガイドライン 3(1)</w:t>
            </w:r>
          </w:p>
        </w:tc>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定期預金への過度な資金集中による集積性の低下</w:t>
            </w:r>
          </w:p>
        </w:tc>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定期預金への過度な資金集中による収益性の低下</w:t>
            </w:r>
          </w:p>
        </w:tc>
        <w:tc>
          <w:tcPr>
            <w:tcW w:type="dxa" w:w="1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文意（要確認）</w:t>
            </w:r>
          </w:p>
        </w:tc>
      </w:tr>
      <w:tr>
        <w:trPr>
          <w:tblHeader w:val="false"/>
        </w:trPr>
        <w:tc>
          <w:tcPr>
            <w:tcW w:type="dxa" w:w="1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ガイドライン 3(3)</w:t>
            </w:r>
          </w:p>
        </w:tc>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安全性の高い債権と適切な分散</w:t>
            </w:r>
          </w:p>
        </w:tc>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安全性の高い債券と適切な分散</w:t>
            </w:r>
          </w:p>
        </w:tc>
        <w:tc>
          <w:tcPr>
            <w:tcW w:type="dxa" w:w="1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誤記</w:t>
            </w:r>
          </w:p>
        </w:tc>
      </w:tr>
      <w:tr>
        <w:trPr>
          <w:tblHeader w:val="false"/>
        </w:trPr>
        <w:tc>
          <w:tcPr>
            <w:tcW w:type="dxa" w:w="1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ガイドライン 4(1)</w:t>
            </w:r>
          </w:p>
        </w:tc>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金利変更リスク</w:t>
            </w:r>
          </w:p>
        </w:tc>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金利変動リスク</w:t>
            </w:r>
          </w:p>
        </w:tc>
        <w:tc>
          <w:tcPr>
            <w:tcW w:type="dxa" w:w="1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7(1)の用語と統一</w:t>
            </w:r>
          </w:p>
        </w:tc>
      </w:tr>
      <w:tr>
        <w:trPr>
          <w:tblHeader w:val="false"/>
        </w:trPr>
        <w:tc>
          <w:tcPr>
            <w:tcW w:type="dxa" w:w="1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ガイドライン 7(1)3</w:t>
            </w:r>
          </w:p>
        </w:tc>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市場価格変更リスク</w:t>
            </w:r>
          </w:p>
        </w:tc>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市場価格変動リスク</w:t>
            </w:r>
          </w:p>
        </w:tc>
        <w:tc>
          <w:tcPr>
            <w:tcW w:type="dxa" w:w="1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同上</w:t>
            </w:r>
          </w:p>
        </w:tc>
      </w:tr>
      <w:tr>
        <w:trPr>
          <w:tblHeader w:val="false"/>
        </w:trPr>
        <w:tc>
          <w:tcPr>
            <w:tcW w:type="dxa" w:w="1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ガイドライン 7(2)</w:t>
            </w:r>
          </w:p>
        </w:tc>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金融商品の名称のみで投資または登記を判断せず</w:t>
            </w:r>
          </w:p>
        </w:tc>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金融商品の名称のみで投機的取引か否かを判断せず</w:t>
            </w:r>
          </w:p>
        </w:tc>
        <w:tc>
          <w:tcPr>
            <w:tcW w:type="dxa" w:w="1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文意（要確認）</w:t>
            </w:r>
          </w:p>
        </w:tc>
      </w:tr>
      <w:tr>
        <w:trPr>
          <w:tblHeader w:val="false"/>
        </w:trPr>
        <w:tc>
          <w:tcPr>
            <w:tcW w:type="dxa" w:w="1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ガイドライン 8(3)3</w:t>
            </w:r>
          </w:p>
        </w:tc>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特殊詐欺防止どの他の研修</w:t>
            </w:r>
          </w:p>
        </w:tc>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特殊詐欺防止その他の研修</w:t>
            </w:r>
          </w:p>
        </w:tc>
        <w:tc>
          <w:tcPr>
            <w:tcW w:type="dxa" w:w="1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誤記</w:t>
            </w:r>
          </w:p>
        </w:tc>
      </w:tr>
      <w:tr>
        <w:trPr>
          <w:tblHeader w:val="false"/>
        </w:trPr>
        <w:tc>
          <w:tcPr>
            <w:tcW w:type="dxa" w:w="1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ガイドライン 10(2)</w:t>
            </w:r>
          </w:p>
        </w:tc>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前条の結果確認については</w:t>
            </w:r>
          </w:p>
        </w:tc>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前項の確認結果については</w:t>
            </w:r>
          </w:p>
        </w:tc>
        <w:tc>
          <w:tcPr>
            <w:tcW w:type="dxa" w:w="1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参照先の誤り</w:t>
            </w:r>
          </w:p>
        </w:tc>
      </w:tr>
      <w:tr>
        <w:trPr>
          <w:tblHeader w:val="false"/>
        </w:trPr>
        <w:tc>
          <w:tcPr>
            <w:tcW w:type="dxa" w:w="1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ガイドライン 12</w:t>
            </w:r>
          </w:p>
        </w:tc>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令和〇年〇月〇日から施行</w:t>
            </w:r>
          </w:p>
        </w:tc>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理事会承認日を記入</w:t>
            </w:r>
          </w:p>
        </w:tc>
        <w:tc>
          <w:tcPr>
            <w:tcW w:type="dxa" w:w="1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空欄</w:t>
            </w:r>
          </w:p>
        </w:tc>
      </w:tr>
      <w:tr>
        <w:trPr>
          <w:tblHeader w:val="false"/>
        </w:trPr>
        <w:tc>
          <w:tcPr>
            <w:tcW w:type="dxa" w:w="16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ガイドライン 第4条（追加）</w:t>
            </w:r>
          </w:p>
        </w:tc>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w:t>
            </w:r>
          </w:p>
        </w:tc>
        <w:tc>
          <w:tcPr>
            <w:tcW w:type="dxa" w:w="32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同一年に償還を迎える基本財産の額は原則として基本財産総額の25%以下とする</w:t>
            </w:r>
          </w:p>
        </w:tc>
        <w:tc>
          <w:tcPr>
            <w:tcW w:type="dxa" w:w="16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7"/>
                <w:szCs w:val="17"/>
                <w:rFonts w:ascii="游明朝" w:eastAsia="游明朝" w:hAnsi="游明朝" w:cs="游明朝"/>
              </w:rPr>
              <w:t xml:space="preserve">本資料5節の提案</w:t>
            </w:r>
          </w:p>
        </w:tc>
      </w:tr>
    </w:tbl>
    <w:p>
      <w:pPr>
        <w:pStyle w:val="Heading1"/>
        <w:spacing w:before="280" w:after="140"/>
      </w:pPr>
      <w:r>
        <w:rPr>
          <w:b/>
          <w:bCs/>
          <w:sz w:val="28"/>
          <w:szCs w:val="28"/>
          <w:rFonts w:ascii="游ゴシック" w:eastAsia="游ゴシック" w:hAnsi="游ゴシック" w:cs="游ゴシック"/>
        </w:rPr>
        <w:t xml:space="preserve">9．通常財産に関する確認事項</w:t>
      </w:r>
    </w:p>
    <w:p>
      <w:pPr>
        <w:pStyle w:val="ListParagraph"/>
        <w:numPr>
          <w:ilvl w:val="0"/>
          <w:numId w:val="2"/>
        </w:numPr>
        <w:spacing w:after="60" w:line="290"/>
      </w:pPr>
      <w:r>
        <w:rPr>
          <w:sz w:val="21"/>
          <w:szCs w:val="21"/>
          <w:rFonts w:ascii="游明朝" w:eastAsia="游明朝" w:hAnsi="游明朝" w:cs="游明朝"/>
        </w:rPr>
        <w:t xml:space="preserve">投資信託（めぶき証券 MUFGウェルスインサイト・ファンド）10,000,000円は財産目録上は帳簿価額であり、令和8年3月末の評価額・評価損益は理事会資料に記載がない。ガイドライン（案）第10条(1)5に基づき、次回理事会から評価損益を報告する。</w:t>
      </w:r>
    </w:p>
    <w:p>
      <w:pPr>
        <w:pStyle w:val="ListParagraph"/>
        <w:numPr>
          <w:ilvl w:val="0"/>
          <w:numId w:val="2"/>
        </w:numPr>
        <w:spacing w:after="60" w:line="290"/>
      </w:pPr>
      <w:r>
        <w:rPr>
          <w:sz w:val="21"/>
          <w:szCs w:val="21"/>
          <w:rFonts w:ascii="游明朝" w:eastAsia="游明朝" w:hAnsi="游明朝" w:cs="游明朝"/>
        </w:rPr>
        <w:t xml:space="preserve">基本財産繰入準備金 1,945,467円（常陽銀行 県庁支店）の基本財産への繰入時期と、繰入後の運用先を併せて検討する。</w:t>
      </w:r>
    </w:p>
    <w:p>
      <w:pPr>
        <w:pStyle w:val="ListParagraph"/>
        <w:numPr>
          <w:ilvl w:val="0"/>
          <w:numId w:val="2"/>
        </w:numPr>
        <w:spacing w:after="60" w:line="290"/>
      </w:pPr>
      <w:r>
        <w:rPr>
          <w:sz w:val="21"/>
          <w:szCs w:val="21"/>
          <w:rFonts w:ascii="游明朝" w:eastAsia="游明朝" w:hAnsi="游明朝" w:cs="游明朝"/>
        </w:rPr>
        <w:t xml:space="preserve">通常財産に占めるリスク資産（投資信託）の割合の上限を、年間支出額（令和7年度 21,868,211円）と必要運転資金を踏まえて定める（ガイドライン第5条(3)）。</w:t>
      </w:r>
    </w:p>
    <w:p>
      <w:pPr>
        <w:pStyle w:val="Heading1"/>
        <w:spacing w:before="280" w:after="140"/>
      </w:pPr>
      <w:r>
        <w:rPr>
          <w:b/>
          <w:bCs/>
          <w:sz w:val="28"/>
          <w:szCs w:val="28"/>
          <w:rFonts w:ascii="游ゴシック" w:eastAsia="游ゴシック" w:hAnsi="游ゴシック" w:cs="游ゴシック"/>
        </w:rPr>
        <w:t xml:space="preserve">10．本検討会で決めていただきたい事項</w:t>
      </w:r>
    </w:p>
    <w:p>
      <w:pPr>
        <w:pStyle w:val="ListParagraph"/>
        <w:numPr>
          <w:ilvl w:val="0"/>
          <w:numId w:val="3"/>
        </w:numPr>
        <w:spacing w:after="60" w:line="290"/>
      </w:pPr>
      <w:r>
        <w:rPr>
          <w:sz w:val="21"/>
          <w:szCs w:val="21"/>
          <w:rFonts w:ascii="游明朝" w:eastAsia="游明朝" w:hAnsi="游明朝" w:cs="游明朝"/>
        </w:rPr>
        <w:t xml:space="preserve">基本方針（案）・ガイドライン（案）を、8節の修正のうえ理事会に付議してよいか。</w:t>
      </w:r>
    </w:p>
    <w:p>
      <w:pPr>
        <w:pStyle w:val="ListParagraph"/>
        <w:numPr>
          <w:ilvl w:val="0"/>
          <w:numId w:val="3"/>
        </w:numPr>
        <w:spacing w:after="60" w:line="290"/>
      </w:pPr>
      <w:r>
        <w:rPr>
          <w:sz w:val="21"/>
          <w:szCs w:val="21"/>
          <w:rFonts w:ascii="游明朝" w:eastAsia="游明朝" w:hAnsi="游明朝" w:cs="游明朝"/>
        </w:rPr>
        <w:t xml:space="preserve">基本財産の目標配分を「国債等 約84%／定期 約16%」（D案）とするか、他の案（C・E・F）とするか。</w:t>
      </w:r>
    </w:p>
    <w:p>
      <w:pPr>
        <w:pStyle w:val="ListParagraph"/>
        <w:numPr>
          <w:ilvl w:val="0"/>
          <w:numId w:val="3"/>
        </w:numPr>
        <w:spacing w:after="60" w:line="290"/>
      </w:pPr>
      <w:r>
        <w:rPr>
          <w:sz w:val="21"/>
          <w:szCs w:val="21"/>
          <w:rFonts w:ascii="游明朝" w:eastAsia="游明朝" w:hAnsi="游明朝" w:cs="游明朝"/>
        </w:rPr>
        <w:t xml:space="preserve">移行は満期到来分の順次振替とするか、中途解約利率の確認を条件に前倒しを認めるか。</w:t>
      </w:r>
    </w:p>
    <w:p>
      <w:pPr>
        <w:pStyle w:val="ListParagraph"/>
        <w:numPr>
          <w:ilvl w:val="0"/>
          <w:numId w:val="3"/>
        </w:numPr>
        <w:spacing w:after="60" w:line="290"/>
      </w:pPr>
      <w:r>
        <w:rPr>
          <w:sz w:val="21"/>
          <w:szCs w:val="21"/>
          <w:rFonts w:ascii="游明朝" w:eastAsia="游明朝" w:hAnsi="游明朝" w:cs="游明朝"/>
        </w:rPr>
        <w:t xml:space="preserve">償還年限の分散ルール（同一年の償還額 25%以下）を採用するか。新規購入の年限配分（2年・5年・10年）はこれでよいか。</w:t>
      </w:r>
    </w:p>
    <w:p>
      <w:pPr>
        <w:pStyle w:val="ListParagraph"/>
        <w:numPr>
          <w:ilvl w:val="0"/>
          <w:numId w:val="3"/>
        </w:numPr>
        <w:spacing w:after="60" w:line="290"/>
      </w:pPr>
      <w:r>
        <w:rPr>
          <w:sz w:val="21"/>
          <w:szCs w:val="21"/>
          <w:rFonts w:ascii="游明朝" w:eastAsia="游明朝" w:hAnsi="游明朝" w:cs="游明朝"/>
        </w:rPr>
        <w:t xml:space="preserve">条件提示を依頼する金融機関の範囲（野村證券・常陽銀行・茨城県信用組合・めぶき証券）と、依頼担当者。</w:t>
      </w:r>
    </w:p>
    <w:p>
      <w:pPr>
        <w:pStyle w:val="ListParagraph"/>
        <w:numPr>
          <w:ilvl w:val="0"/>
          <w:numId w:val="3"/>
        </w:numPr>
        <w:spacing w:after="60" w:line="290"/>
      </w:pPr>
      <w:r>
        <w:rPr>
          <w:sz w:val="21"/>
          <w:szCs w:val="21"/>
          <w:rFonts w:ascii="游明朝" w:eastAsia="游明朝" w:hAnsi="游明朝" w:cs="游明朝"/>
        </w:rPr>
        <w:t xml:space="preserve">理事会付議の時期と、定款変更認可申請の要否の確認担当者。</w:t>
      </w:r>
    </w:p>
    <w:p>
      <w:pPr>
        <w:pStyle w:val="ListParagraph"/>
        <w:numPr>
          <w:ilvl w:val="0"/>
          <w:numId w:val="3"/>
        </w:numPr>
        <w:spacing w:after="60" w:line="290"/>
      </w:pPr>
      <w:r>
        <w:rPr>
          <w:sz w:val="21"/>
          <w:szCs w:val="21"/>
          <w:rFonts w:ascii="游明朝" w:eastAsia="游明朝" w:hAnsi="游明朝" w:cs="游明朝"/>
        </w:rPr>
        <w:t xml:space="preserve">通常財産の投資信託の評価額報告と、リスク資産割合の上限。</w:t>
      </w:r>
    </w:p>
    <w:p>
      <w:pPr>
        <w:pStyle w:val="Heading1"/>
        <w:spacing w:before="280" w:after="140"/>
      </w:pPr>
      <w:r>
        <w:rPr>
          <w:b/>
          <w:bCs/>
          <w:sz w:val="28"/>
          <w:szCs w:val="28"/>
          <w:rFonts w:ascii="游ゴシック" w:eastAsia="游ゴシック" w:hAnsi="游ゴシック" w:cs="游ゴシック"/>
        </w:rPr>
        <w:t xml:space="preserve">11．本資料作成時点で確認できなかった事項</w:t>
      </w:r>
    </w:p>
    <w:p>
      <w:pPr>
        <w:pStyle w:val="ListParagraph"/>
        <w:numPr>
          <w:ilvl w:val="0"/>
          <w:numId w:val="2"/>
        </w:numPr>
        <w:spacing w:after="60" w:line="290"/>
      </w:pPr>
      <w:r>
        <w:rPr>
          <w:sz w:val="21"/>
          <w:szCs w:val="21"/>
          <w:rFonts w:ascii="游明朝" w:eastAsia="游明朝" w:hAnsi="游明朝" w:cs="游明朝"/>
        </w:rPr>
        <w:t xml:space="preserve">財務省・日本銀行・常陽銀行・e-Gov法令検索等の一次情報サイトに本環境から接続できなかったため、3-4節の金利水準および更生保護事業法の条文は二次情報（検索結果の要約）に基づく。検討会前に一次情報で再確認が必要。</w:t>
      </w:r>
    </w:p>
    <w:p>
      <w:pPr>
        <w:pStyle w:val="ListParagraph"/>
        <w:numPr>
          <w:ilvl w:val="0"/>
          <w:numId w:val="2"/>
        </w:numPr>
        <w:spacing w:after="60" w:line="290"/>
      </w:pPr>
      <w:r>
        <w:rPr>
          <w:sz w:val="21"/>
          <w:szCs w:val="21"/>
          <w:rFonts w:ascii="游明朝" w:eastAsia="游明朝" w:hAnsi="游明朝" w:cs="游明朝"/>
        </w:rPr>
        <w:t xml:space="preserve">協会定款における基本財産の記載内容（預金・国債の内訳が定款に記載されているか）。これにより定款変更認可申請の要否が決まる。</w:t>
      </w:r>
    </w:p>
    <w:p>
      <w:pPr>
        <w:pStyle w:val="ListParagraph"/>
        <w:numPr>
          <w:ilvl w:val="0"/>
          <w:numId w:val="2"/>
        </w:numPr>
        <w:spacing w:after="60" w:line="290"/>
      </w:pPr>
      <w:r>
        <w:rPr>
          <w:sz w:val="21"/>
          <w:szCs w:val="21"/>
          <w:rFonts w:ascii="游明朝" w:eastAsia="游明朝" w:hAnsi="游明朝" w:cs="游明朝"/>
        </w:rPr>
        <w:t xml:space="preserve">常陽銀行・茨城県信用組合の定期預金の中途解約利率および解約手数料の有無。</w:t>
      </w:r>
    </w:p>
    <w:p>
      <w:pPr>
        <w:pStyle w:val="ListParagraph"/>
        <w:numPr>
          <w:ilvl w:val="0"/>
          <w:numId w:val="2"/>
        </w:numPr>
        <w:spacing w:after="60" w:line="290"/>
      </w:pPr>
      <w:r>
        <w:rPr>
          <w:sz w:val="21"/>
          <w:szCs w:val="21"/>
          <w:rFonts w:ascii="游明朝" w:eastAsia="游明朝" w:hAnsi="游明朝" w:cs="游明朝"/>
        </w:rPr>
        <w:t xml:space="preserve">2026年5月22日および2026年8月7日に満期を迎えた定期預金の継続の有無と、継続後の適用利率・満期日。</w:t>
      </w:r>
    </w:p>
    <w:p>
      <w:pPr>
        <w:pStyle w:val="ListParagraph"/>
        <w:numPr>
          <w:ilvl w:val="0"/>
          <w:numId w:val="2"/>
        </w:numPr>
        <w:spacing w:after="60" w:line="290"/>
      </w:pPr>
      <w:r>
        <w:rPr>
          <w:sz w:val="21"/>
          <w:szCs w:val="21"/>
          <w:rFonts w:ascii="游明朝" w:eastAsia="游明朝" w:hAnsi="游明朝" w:cs="游明朝"/>
        </w:rPr>
        <w:t xml:space="preserve">投資信託 10,000,000円の現在の評価額。</w:t>
      </w:r>
    </w:p>
    <w:p>
      <w:pPr>
        <w:pStyle w:val="ListParagraph"/>
        <w:numPr>
          <w:ilvl w:val="0"/>
          <w:numId w:val="2"/>
        </w:numPr>
        <w:spacing w:after="60" w:line="290"/>
      </w:pPr>
      <w:r>
        <w:rPr>
          <w:sz w:val="21"/>
          <w:szCs w:val="21"/>
          <w:rFonts w:ascii="游明朝" w:eastAsia="游明朝" w:hAnsi="游明朝" w:cs="游明朝"/>
        </w:rPr>
        <w:t xml:space="preserve">国債利息に係る源泉徴収の取扱い（更生保護法人が所得税法上の非課税法人に該当するか）。</w:t>
      </w:r>
    </w:p>
    <w:p>
      <w:pPr>
        <w:pStyle w:val="ListParagraph"/>
        <w:numPr>
          <w:ilvl w:val="0"/>
          <w:numId w:val="2"/>
        </w:numPr>
        <w:spacing w:after="60" w:line="290"/>
      </w:pPr>
      <w:r>
        <w:rPr>
          <w:sz w:val="21"/>
          <w:szCs w:val="21"/>
          <w:rFonts w:ascii="游明朝" w:eastAsia="游明朝" w:hAnsi="游明朝" w:cs="游明朝"/>
        </w:rPr>
        <w:t xml:space="preserve">茨城県信用組合における国債の取扱いの有無、各社の保護預り料。</w:t>
      </w:r>
    </w:p>
    <w:p>
      <w:pPr>
        <w:pStyle w:val="ListParagraph"/>
        <w:numPr>
          <w:ilvl w:val="0"/>
          <w:numId w:val="2"/>
        </w:numPr>
        <w:spacing w:after="60" w:line="290"/>
      </w:pPr>
      <w:r>
        <w:rPr>
          <w:sz w:val="21"/>
          <w:szCs w:val="21"/>
          <w:rFonts w:ascii="游明朝" w:eastAsia="游明朝" w:hAnsi="游明朝" w:cs="游明朝"/>
        </w:rPr>
        <w:t xml:space="preserve">検討会の開催日（事務局メールは「9月17日（金）」表記だが、2026年9月17日は木曜日）。</w:t>
      </w:r>
    </w:p>
    <w:p>
      <w:pPr>
        <w:pStyle w:val="Heading1"/>
        <w:spacing w:before="280" w:after="140"/>
      </w:pPr>
      <w:r>
        <w:rPr>
          <w:b/>
          <w:bCs/>
          <w:sz w:val="28"/>
          <w:szCs w:val="28"/>
          <w:rFonts w:ascii="游ゴシック" w:eastAsia="游ゴシック" w:hAnsi="游ゴシック" w:cs="游ゴシック"/>
        </w:rPr>
        <w:t xml:space="preserve">12．出典一覧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2000"/>
        <w:gridCol w:w="3838"/>
      </w:tblGrid>
      <w:tr>
        <w:trPr>
          <w:tblHeader/>
        </w:trPr>
        <w:tc>
          <w:tcPr>
            <w:tcW w:type="dxa" w:w="38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6"/>
                <w:szCs w:val="16"/>
                <w:rFonts w:ascii="游ゴシック" w:eastAsia="游ゴシック" w:hAnsi="游ゴシック" w:cs="游ゴシック"/>
              </w:rPr>
              <w:t xml:space="preserve">資料</w:t>
            </w:r>
          </w:p>
        </w:tc>
        <w:tc>
          <w:tcPr>
            <w:tcW w:type="dxa" w:w="2000"/>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6"/>
                <w:szCs w:val="16"/>
                <w:rFonts w:ascii="游ゴシック" w:eastAsia="游ゴシック" w:hAnsi="游ゴシック" w:cs="游ゴシック"/>
              </w:rPr>
              <w:t xml:space="preserve">日付</w:t>
            </w:r>
          </w:p>
        </w:tc>
        <w:tc>
          <w:tcPr>
            <w:tcW w:type="dxa" w:w="3838"/>
            <w:tcBorders>
              <w:top w:val="single" w:color="888888" w:sz="4"/>
              <w:left w:val="single" w:color="888888" w:sz="4"/>
              <w:bottom w:val="single" w:color="888888" w:sz="4"/>
              <w:right w:val="single" w:color="888888" w:sz="4"/>
            </w:tcBorders>
            <w:shd w:fill="D9E2F3" w:color="auto" w:val="clear"/>
            <w:tcMar>
              <w:top w:type="dxa" w:w="40"/>
              <w:left w:type="dxa" w:w="80"/>
              <w:bottom w:type="dxa" w:w="40"/>
              <w:right w:type="dxa" w:w="80"/>
            </w:tcMar>
            <w:vAlign w:val="center"/>
          </w:tcPr>
          <w:p>
            <w:pPr>
              <w:spacing w:after="0" w:line="260"/>
              <w:jc w:val="center"/>
            </w:pPr>
            <w:r>
              <w:rPr>
                <w:b/>
                <w:bCs/>
                <w:sz w:val="16"/>
                <w:szCs w:val="16"/>
                <w:rFonts w:ascii="游ゴシック" w:eastAsia="游ゴシック" w:hAnsi="游ゴシック" w:cs="游ゴシック"/>
              </w:rPr>
              <w:t xml:space="preserve">所在</w:t>
            </w:r>
          </w:p>
        </w:tc>
      </w:tr>
      <w:tr>
        <w:trPr>
          <w:tblHeader w:val="false"/>
        </w:trPr>
        <w:tc>
          <w:tcPr>
            <w:tcW w:type="dxa" w:w="3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令和8年度理事会資料（令和7年度事業報告・決算報告・財産目録・財産目録別紙・貸借対照表・監査報告・役職員名簿）</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理事会 令和8年5月13日／財産目録 令和8年3月31日現在</w:t>
            </w:r>
          </w:p>
        </w:tc>
        <w:tc>
          <w:tcPr>
            <w:tcW w:type="dxa" w:w="38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Box「0.鈴木孝昌／(更生保護協会)」202605_更生保護法人茨城県更生保護協会.pdf</w:t>
            </w:r>
          </w:p>
        </w:tc>
      </w:tr>
      <w:tr>
        <w:trPr>
          <w:tblHeader w:val="false"/>
        </w:trPr>
        <w:tc>
          <w:tcPr>
            <w:tcW w:type="dxa" w:w="3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更生保護法人 茨城県更生保護協会 資金運用基本方針（案）　梶 修明</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2026年8月19日</w:t>
            </w:r>
          </w:p>
        </w:tc>
        <w:tc>
          <w:tcPr>
            <w:tcW w:type="dxa" w:w="38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Box「…／資産運用委員会」【更生保護協会】 資金運用基本方針.docx</w:t>
            </w:r>
          </w:p>
        </w:tc>
      </w:tr>
      <w:tr>
        <w:trPr>
          <w:tblHeader w:val="false"/>
        </w:trPr>
        <w:tc>
          <w:tcPr>
            <w:tcW w:type="dxa" w:w="3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更生保護法人 茨城県更生保護協会 資金運用ガイドライン（案）　梶 修明</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2026年8月19日</w:t>
            </w:r>
          </w:p>
        </w:tc>
        <w:tc>
          <w:tcPr>
            <w:tcW w:type="dxa" w:w="38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同フォルダ 【更生保護協会】資金運用ガイドライン.docx</w:t>
            </w:r>
          </w:p>
        </w:tc>
      </w:tr>
      <w:tr>
        <w:trPr>
          <w:tblHeader w:val="false"/>
        </w:trPr>
        <w:tc>
          <w:tcPr>
            <w:tcW w:type="dxa" w:w="3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関東地方更生保護委員会からの回答</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2026年8月（Box保存 2026年8月22日）</w:t>
            </w:r>
          </w:p>
        </w:tc>
        <w:tc>
          <w:tcPr>
            <w:tcW w:type="dxa" w:w="38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同フォルダ 関東地方更生保護委員会からの回答.docx</w:t>
            </w:r>
          </w:p>
        </w:tc>
      </w:tr>
      <w:tr>
        <w:trPr>
          <w:tblHeader w:val="false"/>
        </w:trPr>
        <w:tc>
          <w:tcPr>
            <w:tcW w:type="dxa" w:w="3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事務局メール「基本財産運用について」（他県事例、定期預金残高55,250,000円、県信・常陽の取扱い検討依頼）</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2026年8月（Box保存 2026年8月22日）</w:t>
            </w:r>
          </w:p>
        </w:tc>
        <w:tc>
          <w:tcPr>
            <w:tcW w:type="dxa" w:w="38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同フォルダ 基本財産運用について.msg</w:t>
            </w:r>
          </w:p>
        </w:tc>
      </w:tr>
      <w:tr>
        <w:trPr>
          <w:tblHeader w:val="false"/>
        </w:trPr>
        <w:tc>
          <w:tcPr>
            <w:tcW w:type="dxa" w:w="3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事務局メール「RE: 基本財産運用について」（検討会用資料の転送）</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2026年8月（Box保存 2026年8月22日）</w:t>
            </w:r>
          </w:p>
        </w:tc>
        <w:tc>
          <w:tcPr>
            <w:tcW w:type="dxa" w:w="38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同フォルダ RE_ 基本財産運用について.msg</w:t>
            </w:r>
          </w:p>
        </w:tc>
      </w:tr>
      <w:tr>
        <w:trPr>
          <w:tblHeader w:val="false"/>
        </w:trPr>
        <w:tc>
          <w:tcPr>
            <w:tcW w:type="dxa" w:w="3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検討会日程（9月17日（金）11:30〜 景山）</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2026年8月19日 事務局メール（カレンダー登録 2026年8月20日）</w:t>
            </w:r>
          </w:p>
        </w:tc>
        <w:tc>
          <w:tcPr>
            <w:tcW w:type="dxa" w:w="38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Googleカレンダー「基本財産運用 検討会（茨城県更生保護協会）」</w:t>
            </w:r>
          </w:p>
        </w:tc>
      </w:tr>
      <w:tr>
        <w:trPr>
          <w:tblHeader w:val="false"/>
        </w:trPr>
        <w:tc>
          <w:tcPr>
            <w:tcW w:type="dxa" w:w="3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国債利回り（2年1.82%、5年2.22%、10年2.98%）</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2026年9月10日</w:t>
            </w:r>
          </w:p>
        </w:tc>
        <w:tc>
          <w:tcPr>
            <w:tcW w:type="dxa" w:w="38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stock-marketdata.com「日本の国債利回り」（二次情報）</w:t>
            </w:r>
          </w:p>
        </w:tc>
      </w:tr>
      <w:tr>
        <w:trPr>
          <w:tblHeader w:val="false"/>
        </w:trPr>
        <w:tc>
          <w:tcPr>
            <w:tcW w:type="dxa" w:w="3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個人向け国債 2026年9月募集分（固定3年1.96%、固定5年2.24%、変動10年1.95%）</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2026年9月</w:t>
            </w:r>
          </w:p>
        </w:tc>
        <w:tc>
          <w:tcPr>
            <w:tcW w:type="dxa" w:w="38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LIMO（Yahoo!ニュース）、kabukiso.com、money-pro.net（二次情報）。一次情報：財務省 個人向け国債窓口</w:t>
            </w:r>
          </w:p>
        </w:tc>
      </w:tr>
      <w:tr>
        <w:trPr>
          <w:tblHeader w:val="false"/>
        </w:trPr>
        <w:tc>
          <w:tcPr>
            <w:tcW w:type="dxa" w:w="3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日本銀行 政策金利 1.00%への引き上げ</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2026年6月 金融政策決定会合</w:t>
            </w:r>
          </w:p>
        </w:tc>
        <w:tc>
          <w:tcPr>
            <w:tcW w:type="dxa" w:w="38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第一生命経済研究所 熊野英生レポート（二次情報）。一次情報：日本銀行「当面の金融政策運営について」</w:t>
            </w:r>
          </w:p>
        </w:tc>
      </w:tr>
      <w:tr>
        <w:trPr>
          <w:tblHeader w:val="false"/>
        </w:trPr>
        <w:tc>
          <w:tcPr>
            <w:tcW w:type="dxa" w:w="3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常陽銀行 定期預金金利（スーパー定期 0.35〜0.50%、キャンペーン1.2%）</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2026年</w:t>
            </w:r>
          </w:p>
        </w:tc>
        <w:tc>
          <w:tcPr>
            <w:tcW w:type="dxa" w:w="38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pricey.jp「常陽銀行の定期預金キャンペーン」（二次情報）。一次情報：常陽銀行「円預金金利のご案内」</w:t>
            </w:r>
          </w:p>
        </w:tc>
      </w:tr>
      <w:tr>
        <w:trPr>
          <w:tblHeader w:val="false"/>
        </w:trPr>
        <w:tc>
          <w:tcPr>
            <w:tcW w:type="dxa" w:w="3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常陽銀行 普通預金金利 0.3%</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2025年12月</w:t>
            </w:r>
          </w:p>
        </w:tc>
        <w:tc>
          <w:tcPr>
            <w:tcW w:type="dxa" w:w="38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日本経済新聞 見出し（二次情報）</w:t>
            </w:r>
          </w:p>
        </w:tc>
      </w:tr>
      <w:tr>
        <w:trPr>
          <w:tblHeader w:val="false"/>
        </w:trPr>
        <w:tc>
          <w:tcPr>
            <w:tcW w:type="dxa" w:w="3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定期預金の中途解約利率の一般的取扱い（普通預金利率を下限）</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2025〜2026年</w:t>
            </w:r>
          </w:p>
        </w:tc>
        <w:tc>
          <w:tcPr>
            <w:tcW w:type="dxa" w:w="38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千葉銀行、北陸銀行、三井住友銀行 公表資料</w:t>
            </w:r>
          </w:p>
        </w:tc>
      </w:tr>
      <w:tr>
        <w:trPr>
          <w:tblHeader w:val="false"/>
        </w:trPr>
        <w:tc>
          <w:tcPr>
            <w:tcW w:type="dxa" w:w="38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更生保護事業法（定款変更の認可、法務大臣の権限の地方更生保護委員会への委任）</w:t>
            </w:r>
          </w:p>
        </w:tc>
        <w:tc>
          <w:tcPr>
            <w:tcW w:type="dxa" w:w="2000"/>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平成7年法律第86号</w:t>
            </w:r>
          </w:p>
        </w:tc>
        <w:tc>
          <w:tcPr>
            <w:tcW w:type="dxa" w:w="3838"/>
            <w:tcBorders>
              <w:top w:val="single" w:color="888888" w:sz="4"/>
              <w:left w:val="single" w:color="888888" w:sz="4"/>
              <w:bottom w:val="single" w:color="888888" w:sz="4"/>
              <w:right w:val="single" w:color="888888" w:sz="4"/>
            </w:tcBorders>
            <w:tcMar>
              <w:top w:type="dxa" w:w="40"/>
              <w:left w:type="dxa" w:w="80"/>
              <w:bottom w:type="dxa" w:w="40"/>
              <w:right w:type="dxa" w:w="80"/>
            </w:tcMar>
            <w:vAlign w:val="center"/>
          </w:tcPr>
          <w:p>
            <w:pPr>
              <w:spacing w:after="0" w:line="260"/>
              <w:jc w:val="left"/>
            </w:pPr>
            <w:r>
              <w:rPr>
                <w:b w:val="false"/>
                <w:bCs w:val="false"/>
                <w:sz w:val="16"/>
                <w:szCs w:val="16"/>
                <w:rFonts w:ascii="游明朝" w:eastAsia="游明朝" w:hAnsi="游明朝" w:cs="游明朝"/>
              </w:rPr>
              <w:t xml:space="preserve">衆議院 制定法律、法令リード（二次情報）。一次情報：e-Gov法令検索</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Fonts w:ascii="游明朝" w:eastAsia="游明朝" w:hAnsi="游明朝" w:cs="游明朝"/>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1238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23825" cy="142875"/>
                  </a:xfrm>
                  <a:prstGeom prst="rect">
                    <a:avLst/>
                  </a:prstGeom>
                </pic:spPr>
              </pic:pic>
            </a:graphicData>
          </a:graphic>
        </wp:inline>
      </w:drawing>
    </w:r>
    <w:r>
      <w:rPr>
        <w:sz w:val="21"/>
        <w:szCs w:val="21"/>
        <w:rFonts w:ascii="游明朝" w:eastAsia="游明朝" w:hAnsi="游明朝" w:cs="游明朝"/>
      </w:rPr>
      <w:t xml:space="preserve">　</w:t>
    </w:r>
    <w:r>
      <w:rPr>
        <w:color w:val="777777"/>
        <w:sz w:val="16"/>
        <w:szCs w:val="16"/>
        <w:rFonts w:ascii="游明朝" w:eastAsia="游明朝" w:hAnsi="游明朝" w:cs="游明朝"/>
      </w:rPr>
      <w:t xml:space="preserve">茨城県更生保護協会　基本財産運用 検討会 提出資料（案）　2026年9月12日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00" w:hanging="240"/>
      </w:pPr>
    </w:lvl>
  </w:abstractNum>
  <w:abstractNum w:abstractNumId="3" w15:restartNumberingAfterBreak="0">
    <w:multiLevelType w:val="hybridMultilevel"/>
    <w:lvl w:ilvl="0" w15:tentative="1">
      <w:start w:val="1"/>
      <w:numFmt w:val="decimal"/>
      <w:lvlText w:val="%1．"/>
      <w:lvlJc w:val="left"/>
      <w:pPr>
        <w:ind w:left="560" w:hanging="4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游明朝" w:eastAsia="游明朝" w:hAnsi="游明朝" w:cs="游明朝"/>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1F3864" w:sz="6" w:space="2"/>
      </w:pBdr>
      <w:spacing w:before="280" w:after="140"/>
      <w:outlineLvl w:val="0"/>
    </w:pPr>
    <w:rPr>
      <w:b/>
      <w:bCs/>
      <w:color w:val="1F3864"/>
      <w:sz w:val="28"/>
      <w:szCs w:val="28"/>
      <w:rFonts w:ascii="游ゴシック" w:eastAsia="游ゴシック" w:hAnsi="游ゴシック" w:cs="游ゴシック"/>
    </w:rPr>
  </w:style>
  <w:style w:type="paragraph" w:styleId="Heading2">
    <w:name w:val="Heading 2"/>
    <w:basedOn w:val="Normal"/>
    <w:next w:val="Normal"/>
    <w:qFormat/>
    <w:pPr>
      <w:spacing w:before="200" w:after="100"/>
      <w:outlineLvl w:val="1"/>
    </w:pPr>
    <w:rPr>
      <w:b/>
      <w:bCs/>
      <w:color w:val="1F3864"/>
      <w:sz w:val="23"/>
      <w:szCs w:val="23"/>
      <w:rFonts w:ascii="游ゴシック" w:eastAsia="游ゴシック" w:hAnsi="游ゴシック" w:cs="游ゴシック"/>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pqluff2qraz6muvoma4ar.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gv5jouices_0syvxvjgnh.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茨城県更生保護協会 基本財産運用検討会 提出資料（案）</dc:title>
  <dc:creator>鈴木孝昌</dc:creator>
  <cp:lastModifiedBy>Un-named</cp:lastModifiedBy>
  <cp:revision>1</cp:revision>
  <dcterms:created xsi:type="dcterms:W3CDTF">2026-09-12T02:45:11.753Z</dcterms:created>
  <dcterms:modified xsi:type="dcterms:W3CDTF">2026-09-12T02:45:11.754Z</dcterms:modified>
</cp:coreProperties>
</file>

<file path=docProps/custom.xml><?xml version="1.0" encoding="utf-8"?>
<Properties xmlns="http://schemas.openxmlformats.org/officeDocument/2006/custom-properties" xmlns:vt="http://schemas.openxmlformats.org/officeDocument/2006/docPropsVTypes"/>
</file>