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REQUIREMENT DOCUMENT</w:t>
      </w:r>
    </w:p>
    <w:p>
      <w:pPr>
        <w:pStyle w:val="Heading1"/>
        <w:jc w:val="center"/>
      </w:pPr>
      <w:r>
        <w:t>Consolidated Quote &amp; Proposal API Integration</w:t>
      </w:r>
    </w:p>
    <w:p>
      <w:pPr>
        <w:pStyle w:val="Heading2"/>
      </w:pPr>
      <w:r>
        <w:t>Document Control &amp; History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Version</w:t>
            </w:r>
          </w:p>
        </w:tc>
        <w:tc>
          <w:tcPr>
            <w:tcW w:type="dxa" w:w="1728"/>
          </w:tcPr>
          <w:p>
            <w:r>
              <w:rPr>
                <w:b/>
              </w:rPr>
              <w:t>Author</w:t>
            </w:r>
          </w:p>
        </w:tc>
        <w:tc>
          <w:tcPr>
            <w:tcW w:type="dxa" w:w="1728"/>
          </w:tcPr>
          <w:p>
            <w:r>
              <w:rPr>
                <w:b/>
              </w:rPr>
              <w:t>Date</w:t>
            </w:r>
          </w:p>
        </w:tc>
        <w:tc>
          <w:tcPr>
            <w:tcW w:type="dxa" w:w="1728"/>
          </w:tcPr>
          <w:p>
            <w:r>
              <w:rPr>
                <w:b/>
              </w:rPr>
              <w:t>Verified By</w:t>
            </w:r>
          </w:p>
        </w:tc>
        <w:tc>
          <w:tcPr>
            <w:tcW w:type="dxa" w:w="1728"/>
          </w:tcPr>
          <w:p>
            <w:r>
              <w:rPr>
                <w:b/>
              </w:rPr>
              <w:t>Comments</w:t>
            </w:r>
          </w:p>
        </w:tc>
      </w:tr>
      <w:tr>
        <w:tc>
          <w:tcPr>
            <w:tcW w:type="dxa" w:w="1728"/>
          </w:tcPr>
          <w:p>
            <w:r>
              <w:t>V1</w:t>
            </w:r>
          </w:p>
        </w:tc>
        <w:tc>
          <w:tcPr>
            <w:tcW w:type="dxa" w:w="1728"/>
          </w:tcPr>
          <w:p>
            <w:r>
              <w:t>Mundhar</w:t>
            </w:r>
          </w:p>
        </w:tc>
        <w:tc>
          <w:tcPr>
            <w:tcW w:type="dxa" w:w="1728"/>
          </w:tcPr>
          <w:p>
            <w:r>
              <w:t>04-08-2026</w:t>
            </w:r>
          </w:p>
        </w:tc>
        <w:tc>
          <w:tcPr>
            <w:tcW w:type="dxa" w:w="1728"/>
          </w:tcPr>
          <w:p>
            <w:r/>
          </w:p>
        </w:tc>
        <w:tc>
          <w:tcPr>
            <w:tcW w:type="dxa" w:w="1728"/>
          </w:tcPr>
          <w:p>
            <w:r>
              <w:t>Added unified API request payload and field validations</w:t>
            </w:r>
          </w:p>
        </w:tc>
      </w:tr>
      <w:tr>
        <w:tc>
          <w:tcPr>
            <w:tcW w:type="dxa" w:w="1728"/>
          </w:tcPr>
          <w:p>
            <w:r>
              <w:t>V2</w:t>
            </w:r>
          </w:p>
        </w:tc>
        <w:tc>
          <w:tcPr>
            <w:tcW w:type="dxa" w:w="1728"/>
          </w:tcPr>
          <w:p>
            <w:r>
              <w:t>Mundhar</w:t>
            </w:r>
          </w:p>
        </w:tc>
        <w:tc>
          <w:tcPr>
            <w:tcW w:type="dxa" w:w="1728"/>
          </w:tcPr>
          <w:p>
            <w:r>
              <w:t>17-08-2026</w:t>
            </w:r>
          </w:p>
        </w:tc>
        <w:tc>
          <w:tcPr>
            <w:tcW w:type="dxa" w:w="1728"/>
          </w:tcPr>
          <w:p>
            <w:r/>
          </w:p>
        </w:tc>
        <w:tc>
          <w:tcPr>
            <w:tcW w:type="dxa" w:w="1728"/>
          </w:tcPr>
          <w:p>
            <w:r>
              <w:t>Updated to merge 3 APIs, added document upload workflow, added secondary email and issuer reference fields, and included Acceptance Letter API.</w:t>
            </w:r>
          </w:p>
        </w:tc>
      </w:tr>
    </w:tbl>
    <w:p>
      <w:pPr>
        <w:pStyle w:val="Heading2"/>
      </w:pPr>
      <w:r>
        <w:t>1. Introduction</w:t>
      </w:r>
    </w:p>
    <w:p>
      <w:r>
        <w:t>This Business Requirement Document (BRD) details the specifications for developing and integrating a new Consolidated Wrapper Service API to be called one time rather than calling 3 different APIs [ Quote Save, Quote Finalize, Proposal Save ]. The objective is to merge these three APIs so the customer can subsequently upload the necessary documents and then finalize the proposal. This replaces multi-call client orchestrations with a single, highly efficient, unified endpoint while retaining all underlying business rules, header security, and field validations. Additionally, this update introduces tracking and notification enhancements, alongside a dedicated API to download the Acceptance Letter.</w:t>
      </w:r>
    </w:p>
    <w:p>
      <w:pPr>
        <w:pStyle w:val="Heading2"/>
      </w:pPr>
      <w:r>
        <w:t>2. Requirement Description</w:t>
      </w:r>
    </w:p>
    <w:p>
      <w:r>
        <w:t>Currently, external front-end systems, banking portals, and third-party channels are required to call separate REST APIs in strict sequence to complete a policy proposal lifecycle. This creates multi-hop network latency, increases reliance on client-side state tracking, and poses partial failure challenges.</w:t>
      </w:r>
    </w:p>
    <w:p>
      <w:pPr>
        <w:pStyle w:val="Heading3"/>
      </w:pPr>
      <w:r>
        <w:t>Scope of Requirement:</w:t>
      </w:r>
    </w:p>
    <w:p>
      <w:pPr>
        <w:pStyle w:val="ListBullet"/>
      </w:pPr>
      <w:r>
        <w:t>Merging 3 APIs: Consolidate 3 independent sequential API calls (Quote Save, Quote Finalize, and Proposal Save) into a single composite execution payload, pausing before finalization to allow document uploads.</w:t>
      </w:r>
    </w:p>
    <w:p>
      <w:pPr>
        <w:pStyle w:val="ListBullet"/>
      </w:pPr>
      <w:r>
        <w:t>Secondary Email Notification: Adding a new option and field similar to employee_optional_mail to allow the issuer to add an additional email when the underwriter action gets triggered. This will be called 2nd_employee_optional_mail.</w:t>
      </w:r>
    </w:p>
    <w:p>
      <w:pPr>
        <w:pStyle w:val="ListBullet"/>
      </w:pPr>
      <w:r>
        <w:t>Bank Internal Reference: Adding a new optional field which carries the bank internal reference ID in the new API, which should be included in the email after the underwriter Action. This will be called issuer_reference_id.</w:t>
      </w:r>
    </w:p>
    <w:p>
      <w:pPr>
        <w:pStyle w:val="ListBullet"/>
      </w:pPr>
      <w:r>
        <w:t>Acceptance Letter: Creating an API to download the Acceptance Letter.</w:t>
      </w:r>
    </w:p>
    <w:p>
      <w:pPr>
        <w:pStyle w:val="ListBullet"/>
      </w:pPr>
      <w:r>
        <w:t>Capture authentication Bearer Tokens securely in the HTTP Request Header.</w:t>
      </w:r>
    </w:p>
    <w:p>
      <w:pPr>
        <w:pStyle w:val="ListBullet"/>
      </w:pPr>
      <w:r>
        <w:t>Strictly enforce all validation rules across both Quotation and Proposal stages within the new unified API workflow.</w:t>
      </w:r>
    </w:p>
    <w:p>
      <w:pPr>
        <w:pStyle w:val="Heading2"/>
      </w:pPr>
      <w:r>
        <w:t>3. Application Development</w:t>
      </w:r>
    </w:p>
    <w:p>
      <w:pPr>
        <w:pStyle w:val="Heading3"/>
      </w:pPr>
      <w:r>
        <w:t>3.1 User Applicability &amp; Security Header</w:t>
      </w:r>
    </w:p>
    <w:p>
      <w:r>
        <w:t>This API is requested by Meethaq Islamic Banking consumer applications knowing that we can use the same for other partners is needed.</w:t>
      </w:r>
    </w:p>
    <w:p>
      <w:pPr>
        <w:pStyle w:val="Heading3"/>
      </w:pPr>
      <w:r>
        <w:t>3.2 As-Is Functionality</w:t>
      </w:r>
    </w:p>
    <w:p>
      <w:r>
        <w:t>Currently, completing a quotation and proposal requires client applications to invoke four distinct API endpoints sequentially, managing state and mapping intermediate identifiers manually:</w:t>
      </w:r>
    </w:p>
    <w:p>
      <w:r>
        <w:t>1. Save Quote API</w:t>
      </w:r>
    </w:p>
    <w:p>
      <w:r>
        <w:t>2. Finalize Quote API</w:t>
      </w:r>
    </w:p>
    <w:p>
      <w:r>
        <w:t>3. Save Proposal API</w:t>
      </w:r>
    </w:p>
    <w:p>
      <w:r>
        <w:t>4. Finalize Proposal API</w:t>
      </w:r>
    </w:p>
    <w:p>
      <w:pPr>
        <w:pStyle w:val="Heading3"/>
      </w:pPr>
      <w:r>
        <w:t>3.3 To-Be Functionality</w:t>
      </w:r>
    </w:p>
    <w:p>
      <w:r>
        <w:t>Moving forward, Insillion/Core Engine will expose ONE consolidated endpoint (e.g., POST /api/v1/quote-proposal/consolidated-process). The core system will handle internal orchestration sequentially within a single request context:</w:t>
      </w:r>
    </w:p>
    <w:p>
      <w:pPr>
        <w:pStyle w:val="ListBullet"/>
      </w:pPr>
      <w:r>
        <w:t>Step 1: Read Authorization Token from HTTP Header and validate channel rights.</w:t>
      </w:r>
    </w:p>
    <w:p>
      <w:pPr>
        <w:pStyle w:val="ListBullet"/>
      </w:pPr>
      <w:r>
        <w:t>Step 2: Parse unified payload (including issuer_reference_id and 2nd_employee_optional_mail) and perform Quotation Level validations &amp; Proposal Level validations.</w:t>
      </w:r>
    </w:p>
    <w:p>
      <w:pPr>
        <w:pStyle w:val="ListBullet"/>
      </w:pPr>
      <w:r>
        <w:t>Step 3: Internally invoke Save Quote &amp; Finalize Quote logic.</w:t>
      </w:r>
    </w:p>
    <w:p>
      <w:pPr>
        <w:pStyle w:val="ListBullet"/>
      </w:pPr>
      <w:r>
        <w:t>Step 4: Internally invoke Save Proposal logic.</w:t>
      </w:r>
    </w:p>
    <w:p>
      <w:pPr>
        <w:pStyle w:val="ListBullet"/>
      </w:pPr>
      <w:r>
        <w:t>Step 5: Return a single consolidated HTTP 200 JSON response containing the Proposal ID and Status, allowing the client side to proceed with document uploads before calling Finalize Proposal.</w:t>
      </w:r>
    </w:p>
    <w:p>
      <w:pPr>
        <w:pStyle w:val="ListBullet"/>
      </w:pPr>
      <w:r>
        <w:t>Step 6: A separate companion API will be exposed to allow the downloading of the Acceptance Letter.</w:t>
      </w:r>
    </w:p>
    <w:p>
      <w:pPr>
        <w:pStyle w:val="Heading3"/>
      </w:pPr>
      <w:r>
        <w:t>3.4 Request Payload Specifications</w:t>
      </w:r>
    </w:p>
    <w:p>
      <w:r>
        <w:t>The client channel provides all parameters required for both quotation and partial proposal processing in a single JSON body:</w:t>
      </w:r>
    </w:p>
    <w:p>
      <w:r>
        <w:rPr>
          <w:rFonts w:ascii="Courier New" w:hAnsi="Courier New"/>
          <w:sz w:val="18"/>
        </w:rPr>
        <w:t>{</w:t>
        <w:br/>
        <w:t xml:space="preserve">    "product_id": "{{ucl_product_id}}",</w:t>
        <w:br/>
        <w:t xml:space="preserve">    "branch_code": "100",</w:t>
        <w:br/>
        <w:t xml:space="preserve">    "issuer_reference_id": "BNK-REF-2026-9988",</w:t>
        <w:br/>
        <w:t xml:space="preserve">    "customer": {</w:t>
        <w:br/>
        <w:t xml:space="preserve">        "title": "Mr.",</w:t>
        <w:br/>
        <w:t xml:space="preserve">        "customer_type": "Individual",</w:t>
        <w:br/>
        <w:t xml:space="preserve">        "first_name": "Test",</w:t>
        <w:br/>
        <w:t xml:space="preserve">        "middle_name": "",</w:t>
        <w:br/>
        <w:t xml:space="preserve">        "last_name": "bbb",</w:t>
        <w:br/>
        <w:t xml:space="preserve">        "civil_resident_id": "223669",</w:t>
        <w:br/>
        <w:t xml:space="preserve">        "gender": "Male",</w:t>
        <w:br/>
        <w:t xml:space="preserve">        "insured_dob": 33822,</w:t>
        <w:br/>
        <w:t xml:space="preserve">        "nationality": "OMANI",</w:t>
        <w:br/>
        <w:t xml:space="preserve">        "governate": "Muscat",</w:t>
        <w:br/>
        <w:t xml:space="preserve">        "wilayat": "Muscat",</w:t>
        <w:br/>
        <w:t xml:space="preserve">        "po_box": "110",</w:t>
        <w:br/>
        <w:t xml:space="preserve">        "address": "99 Street",</w:t>
        <w:br/>
        <w:t xml:space="preserve">        "mobile_no": 91118770,</w:t>
        <w:br/>
        <w:t xml:space="preserve">        "email": "",</w:t>
        <w:br/>
        <w:t xml:space="preserve">        "occupation": "Others",</w:t>
        <w:br/>
        <w:t xml:space="preserve">        "position": "test"</w:t>
        <w:br/>
        <w:t xml:space="preserve">    },</w:t>
        <w:br/>
        <w:t xml:space="preserve">    "finance_amount": "6000",</w:t>
        <w:br/>
        <w:t xml:space="preserve">    "purpose": "PERSONAL / AUTO",</w:t>
        <w:br/>
        <w:t xml:space="preserve">    "financier": "Meethaq Islamic Bank",</w:t>
        <w:br/>
        <w:t xml:space="preserve">    "employee_optional_mail": "almundhar@takafuloman.om",</w:t>
        <w:br/>
        <w:t xml:space="preserve">    "2nd_employee_optional_mail": "underwriter.support@takafuloman.om",</w:t>
        <w:br/>
        <w:t xml:space="preserve">    "policy_start_date": 46233,</w:t>
        <w:br/>
        <w:t xml:space="preserve">    "loan_tenure": 60,</w:t>
        <w:br/>
        <w:t xml:space="preserve">    "waiver_option": "No",</w:t>
        <w:br/>
        <w:t xml:space="preserve">    "waiver_in_months": 20,</w:t>
        <w:br/>
        <w:t xml:space="preserve">    "payment_method": "Single", </w:t>
        <w:br/>
        <w:t xml:space="preserve">    "iterative_calculation": "Yes",</w:t>
        <w:br/>
        <w:t xml:space="preserve">    "height": "180",</w:t>
        <w:br/>
        <w:t xml:space="preserve">    "weight": "70",</w:t>
        <w:br/>
        <w:t xml:space="preserve">    "tribe": "tribe",</w:t>
        <w:br/>
        <w:t xml:space="preserve">    "employer_name": "ROYAL OMAN POLICE",</w:t>
        <w:br/>
        <w:t xml:space="preserve">    "po_box": "328",</w:t>
        <w:br/>
        <w:t xml:space="preserve">    "occupation": "Others",</w:t>
        <w:br/>
        <w:t xml:space="preserve">    "position": "test", </w:t>
        <w:br/>
        <w:t xml:space="preserve">    "preferred_hospital": "Apollo Wellness Hospital",</w:t>
        <w:br/>
        <w:t xml:space="preserve">    "medical_ques_1": "No",</w:t>
        <w:br/>
        <w:t xml:space="preserve">    "medical_ques_2": "No",</w:t>
        <w:br/>
        <w:t xml:space="preserve">    "medical_ques_3": "No",</w:t>
        <w:br/>
        <w:t xml:space="preserve">    "medical_ques_4": "No",</w:t>
        <w:br/>
        <w:t xml:space="preserve">    "medical_ques_5": "No",</w:t>
        <w:br/>
        <w:t xml:space="preserve">    "medical_ques_6": "No",</w:t>
        <w:br/>
        <w:t xml:space="preserve">    "medical_ques_7": "No",</w:t>
        <w:br/>
        <w:t xml:space="preserve">    "medical_ques_8": "No",</w:t>
        <w:br/>
        <w:t xml:space="preserve">    "medical_ques_9": "No",</w:t>
        <w:br/>
        <w:t xml:space="preserve">    "medical_ques_10": "No",</w:t>
        <w:br/>
        <w:t xml:space="preserve">    "medical_ques_11": "No",</w:t>
        <w:br/>
        <w:t xml:space="preserve">    "medical_ques_12": "No",</w:t>
        <w:br/>
        <w:t xml:space="preserve">    "medical_ques_13": "No",</w:t>
        <w:br/>
        <w:t xml:space="preserve">    "medical_ques_14": "No",</w:t>
        <w:br/>
        <w:t xml:space="preserve">    "medical_ques_15": "No",</w:t>
        <w:br/>
        <w:t xml:space="preserve">    "medical_ques_16": "No",</w:t>
        <w:br/>
        <w:t xml:space="preserve">    "medical_ques_18": "No",</w:t>
        <w:br/>
        <w:t xml:space="preserve">    "medical_ques_17": "Test",</w:t>
        <w:br/>
        <w:t xml:space="preserve">    "marital_status": "Married"</w:t>
        <w:br/>
        <w:t>}</w:t>
      </w:r>
    </w:p>
    <w:p>
      <w:pPr>
        <w:pStyle w:val="Heading3"/>
      </w:pPr>
      <w:r>
        <w:t>3.5 Field Data Dictionary &amp; Stage Validations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Field Name</w:t>
            </w:r>
          </w:p>
        </w:tc>
        <w:tc>
          <w:tcPr>
            <w:tcW w:type="dxa" w:w="1728"/>
          </w:tcPr>
          <w:p>
            <w:r>
              <w:rPr>
                <w:b/>
              </w:rPr>
              <w:t>Type</w:t>
            </w:r>
          </w:p>
        </w:tc>
        <w:tc>
          <w:tcPr>
            <w:tcW w:type="dxa" w:w="1728"/>
          </w:tcPr>
          <w:p>
            <w:r>
              <w:rPr>
                <w:b/>
              </w:rPr>
              <w:t>Req</w:t>
            </w:r>
          </w:p>
        </w:tc>
        <w:tc>
          <w:tcPr>
            <w:tcW w:type="dxa" w:w="1728"/>
          </w:tcPr>
          <w:p>
            <w:r>
              <w:rPr>
                <w:b/>
              </w:rPr>
              <w:t>Stage Level</w:t>
            </w:r>
          </w:p>
        </w:tc>
        <w:tc>
          <w:tcPr>
            <w:tcW w:type="dxa" w:w="1728"/>
          </w:tcPr>
          <w:p>
            <w:r>
              <w:rPr>
                <w:b/>
              </w:rPr>
              <w:t>Validation Rule</w:t>
            </w:r>
          </w:p>
        </w:tc>
      </w:tr>
      <w:tr>
        <w:tc>
          <w:tcPr>
            <w:tcW w:type="dxa" w:w="1728"/>
          </w:tcPr>
          <w:p>
            <w:r>
              <w:t>product_id</w:t>
            </w:r>
          </w:p>
        </w:tc>
        <w:tc>
          <w:tcPr>
            <w:tcW w:type="dxa" w:w="1728"/>
          </w:tcPr>
          <w:p>
            <w:r>
              <w:t>String</w:t>
            </w:r>
          </w:p>
        </w:tc>
        <w:tc>
          <w:tcPr>
            <w:tcW w:type="dxa" w:w="1728"/>
          </w:tcPr>
          <w:p>
            <w:r>
              <w:t>Yes</w:t>
            </w:r>
          </w:p>
        </w:tc>
        <w:tc>
          <w:tcPr>
            <w:tcW w:type="dxa" w:w="1728"/>
          </w:tcPr>
          <w:p>
            <w:r>
              <w:t>Quote Stage</w:t>
            </w:r>
          </w:p>
        </w:tc>
        <w:tc>
          <w:tcPr>
            <w:tcW w:type="dxa" w:w="1728"/>
          </w:tcPr>
          <w:p>
            <w:r>
              <w:t>Must match active configured product ID.</w:t>
            </w:r>
          </w:p>
        </w:tc>
      </w:tr>
      <w:tr>
        <w:tc>
          <w:tcPr>
            <w:tcW w:type="dxa" w:w="1728"/>
          </w:tcPr>
          <w:p>
            <w:r>
              <w:t>branch_code</w:t>
            </w:r>
          </w:p>
        </w:tc>
        <w:tc>
          <w:tcPr>
            <w:tcW w:type="dxa" w:w="1728"/>
          </w:tcPr>
          <w:p>
            <w:r>
              <w:t>String</w:t>
            </w:r>
          </w:p>
        </w:tc>
        <w:tc>
          <w:tcPr>
            <w:tcW w:type="dxa" w:w="1728"/>
          </w:tcPr>
          <w:p>
            <w:r>
              <w:t>Yes</w:t>
            </w:r>
          </w:p>
        </w:tc>
        <w:tc>
          <w:tcPr>
            <w:tcW w:type="dxa" w:w="1728"/>
          </w:tcPr>
          <w:p>
            <w:r>
              <w:t>Quote Stage</w:t>
            </w:r>
          </w:p>
        </w:tc>
        <w:tc>
          <w:tcPr>
            <w:tcW w:type="dxa" w:w="1728"/>
          </w:tcPr>
          <w:p>
            <w:r>
              <w:t>Valid branch identifier (e.g., 100).</w:t>
            </w:r>
          </w:p>
        </w:tc>
      </w:tr>
      <w:tr>
        <w:tc>
          <w:tcPr>
            <w:tcW w:type="dxa" w:w="1728"/>
          </w:tcPr>
          <w:p>
            <w:r>
              <w:t>issuer_reference_id</w:t>
            </w:r>
          </w:p>
        </w:tc>
        <w:tc>
          <w:tcPr>
            <w:tcW w:type="dxa" w:w="1728"/>
          </w:tcPr>
          <w:p>
            <w:r>
              <w:t>String</w:t>
            </w:r>
          </w:p>
        </w:tc>
        <w:tc>
          <w:tcPr>
            <w:tcW w:type="dxa" w:w="1728"/>
          </w:tcPr>
          <w:p>
            <w:r>
              <w:t>No</w:t>
            </w:r>
          </w:p>
        </w:tc>
        <w:tc>
          <w:tcPr>
            <w:tcW w:type="dxa" w:w="1728"/>
          </w:tcPr>
          <w:p>
            <w:r>
              <w:t>Quote Stage</w:t>
            </w:r>
          </w:p>
        </w:tc>
        <w:tc>
          <w:tcPr>
            <w:tcW w:type="dxa" w:w="1728"/>
          </w:tcPr>
          <w:p>
            <w:r>
              <w:t>Bank internal reference ID; included in the email after underwriter Action.</w:t>
            </w:r>
          </w:p>
        </w:tc>
      </w:tr>
      <w:tr>
        <w:tc>
          <w:tcPr>
            <w:tcW w:type="dxa" w:w="1728"/>
          </w:tcPr>
          <w:p>
            <w:r>
              <w:t>customer.civil_resident_id</w:t>
            </w:r>
          </w:p>
        </w:tc>
        <w:tc>
          <w:tcPr>
            <w:tcW w:type="dxa" w:w="1728"/>
          </w:tcPr>
          <w:p>
            <w:r>
              <w:t>String</w:t>
            </w:r>
          </w:p>
        </w:tc>
        <w:tc>
          <w:tcPr>
            <w:tcW w:type="dxa" w:w="1728"/>
          </w:tcPr>
          <w:p>
            <w:r>
              <w:t>Yes</w:t>
            </w:r>
          </w:p>
        </w:tc>
        <w:tc>
          <w:tcPr>
            <w:tcW w:type="dxa" w:w="1728"/>
          </w:tcPr>
          <w:p>
            <w:r>
              <w:t>Quote Stage</w:t>
            </w:r>
          </w:p>
        </w:tc>
        <w:tc>
          <w:tcPr>
            <w:tcW w:type="dxa" w:w="1728"/>
          </w:tcPr>
          <w:p>
            <w:r>
              <w:t>Must be valid numeric ID format.</w:t>
            </w:r>
          </w:p>
        </w:tc>
      </w:tr>
      <w:tr>
        <w:tc>
          <w:tcPr>
            <w:tcW w:type="dxa" w:w="1728"/>
          </w:tcPr>
          <w:p>
            <w:r>
              <w:t>customer.first_name</w:t>
            </w:r>
          </w:p>
        </w:tc>
        <w:tc>
          <w:tcPr>
            <w:tcW w:type="dxa" w:w="1728"/>
          </w:tcPr>
          <w:p>
            <w:r>
              <w:t>String</w:t>
            </w:r>
          </w:p>
        </w:tc>
        <w:tc>
          <w:tcPr>
            <w:tcW w:type="dxa" w:w="1728"/>
          </w:tcPr>
          <w:p>
            <w:r>
              <w:t>Yes</w:t>
            </w:r>
          </w:p>
        </w:tc>
        <w:tc>
          <w:tcPr>
            <w:tcW w:type="dxa" w:w="1728"/>
          </w:tcPr>
          <w:p>
            <w:r>
              <w:t>Quote Stage</w:t>
            </w:r>
          </w:p>
        </w:tc>
        <w:tc>
          <w:tcPr>
            <w:tcW w:type="dxa" w:w="1728"/>
          </w:tcPr>
          <w:p>
            <w:r>
              <w:t>Mandatory string; length checks apply.</w:t>
            </w:r>
          </w:p>
        </w:tc>
      </w:tr>
      <w:tr>
        <w:tc>
          <w:tcPr>
            <w:tcW w:type="dxa" w:w="1728"/>
          </w:tcPr>
          <w:p>
            <w:r>
              <w:t>customer.insured_dob</w:t>
            </w:r>
          </w:p>
        </w:tc>
        <w:tc>
          <w:tcPr>
            <w:tcW w:type="dxa" w:w="1728"/>
          </w:tcPr>
          <w:p>
            <w:r>
              <w:t>Numeric</w:t>
            </w:r>
          </w:p>
        </w:tc>
        <w:tc>
          <w:tcPr>
            <w:tcW w:type="dxa" w:w="1728"/>
          </w:tcPr>
          <w:p>
            <w:r>
              <w:t>Yes</w:t>
            </w:r>
          </w:p>
        </w:tc>
        <w:tc>
          <w:tcPr>
            <w:tcW w:type="dxa" w:w="1728"/>
          </w:tcPr>
          <w:p>
            <w:r>
              <w:t>Quote Stage</w:t>
            </w:r>
          </w:p>
        </w:tc>
        <w:tc>
          <w:tcPr>
            <w:tcW w:type="dxa" w:w="1728"/>
          </w:tcPr>
          <w:p>
            <w:r>
              <w:t>Date format; must meet eligibility age limit.</w:t>
            </w:r>
          </w:p>
        </w:tc>
      </w:tr>
      <w:tr>
        <w:tc>
          <w:tcPr>
            <w:tcW w:type="dxa" w:w="1728"/>
          </w:tcPr>
          <w:p>
            <w:r>
              <w:t>customer.gender</w:t>
            </w:r>
          </w:p>
        </w:tc>
        <w:tc>
          <w:tcPr>
            <w:tcW w:type="dxa" w:w="1728"/>
          </w:tcPr>
          <w:p>
            <w:r>
              <w:t>String</w:t>
            </w:r>
          </w:p>
        </w:tc>
        <w:tc>
          <w:tcPr>
            <w:tcW w:type="dxa" w:w="1728"/>
          </w:tcPr>
          <w:p>
            <w:r>
              <w:t>Yes</w:t>
            </w:r>
          </w:p>
        </w:tc>
        <w:tc>
          <w:tcPr>
            <w:tcW w:type="dxa" w:w="1728"/>
          </w:tcPr>
          <w:p>
            <w:r>
              <w:t>Quote Stage</w:t>
            </w:r>
          </w:p>
        </w:tc>
        <w:tc>
          <w:tcPr>
            <w:tcW w:type="dxa" w:w="1728"/>
          </w:tcPr>
          <w:p>
            <w:r>
              <w:t>Allowed Values: Male, Female.</w:t>
            </w:r>
          </w:p>
        </w:tc>
      </w:tr>
      <w:tr>
        <w:tc>
          <w:tcPr>
            <w:tcW w:type="dxa" w:w="1728"/>
          </w:tcPr>
          <w:p>
            <w:r>
              <w:t>customer.mobile_no</w:t>
            </w:r>
          </w:p>
        </w:tc>
        <w:tc>
          <w:tcPr>
            <w:tcW w:type="dxa" w:w="1728"/>
          </w:tcPr>
          <w:p>
            <w:r>
              <w:t>Numeric</w:t>
            </w:r>
          </w:p>
        </w:tc>
        <w:tc>
          <w:tcPr>
            <w:tcW w:type="dxa" w:w="1728"/>
          </w:tcPr>
          <w:p>
            <w:r>
              <w:t>Yes</w:t>
            </w:r>
          </w:p>
        </w:tc>
        <w:tc>
          <w:tcPr>
            <w:tcW w:type="dxa" w:w="1728"/>
          </w:tcPr>
          <w:p>
            <w:r>
              <w:t>Quote Stage</w:t>
            </w:r>
          </w:p>
        </w:tc>
        <w:tc>
          <w:tcPr>
            <w:tcW w:type="dxa" w:w="1728"/>
          </w:tcPr>
          <w:p>
            <w:r>
              <w:t>Valid 8-digit Oman mobile number.</w:t>
            </w:r>
          </w:p>
        </w:tc>
      </w:tr>
      <w:tr>
        <w:tc>
          <w:tcPr>
            <w:tcW w:type="dxa" w:w="1728"/>
          </w:tcPr>
          <w:p>
            <w:r>
              <w:t>finance_amount</w:t>
            </w:r>
          </w:p>
        </w:tc>
        <w:tc>
          <w:tcPr>
            <w:tcW w:type="dxa" w:w="1728"/>
          </w:tcPr>
          <w:p>
            <w:r>
              <w:t>String</w:t>
            </w:r>
          </w:p>
        </w:tc>
        <w:tc>
          <w:tcPr>
            <w:tcW w:type="dxa" w:w="1728"/>
          </w:tcPr>
          <w:p>
            <w:r>
              <w:t>Yes</w:t>
            </w:r>
          </w:p>
        </w:tc>
        <w:tc>
          <w:tcPr>
            <w:tcW w:type="dxa" w:w="1728"/>
          </w:tcPr>
          <w:p>
            <w:r>
              <w:t>Quote Stage</w:t>
            </w:r>
          </w:p>
        </w:tc>
        <w:tc>
          <w:tcPr>
            <w:tcW w:type="dxa" w:w="1728"/>
          </w:tcPr>
          <w:p>
            <w:r>
              <w:t>Numeric value; must fall within product finance boundaries.</w:t>
            </w:r>
          </w:p>
        </w:tc>
      </w:tr>
      <w:tr>
        <w:tc>
          <w:tcPr>
            <w:tcW w:type="dxa" w:w="1728"/>
          </w:tcPr>
          <w:p>
            <w:r>
              <w:t>employee_optional_mail</w:t>
            </w:r>
          </w:p>
        </w:tc>
        <w:tc>
          <w:tcPr>
            <w:tcW w:type="dxa" w:w="1728"/>
          </w:tcPr>
          <w:p>
            <w:r>
              <w:t>String</w:t>
            </w:r>
          </w:p>
        </w:tc>
        <w:tc>
          <w:tcPr>
            <w:tcW w:type="dxa" w:w="1728"/>
          </w:tcPr>
          <w:p>
            <w:r>
              <w:t>No</w:t>
            </w:r>
          </w:p>
        </w:tc>
        <w:tc>
          <w:tcPr>
            <w:tcW w:type="dxa" w:w="1728"/>
          </w:tcPr>
          <w:p>
            <w:r>
              <w:t>Quote Stage</w:t>
            </w:r>
          </w:p>
        </w:tc>
        <w:tc>
          <w:tcPr>
            <w:tcW w:type="dxa" w:w="1728"/>
          </w:tcPr>
          <w:p>
            <w:r>
              <w:t>Primary email for underwriter action triggers.</w:t>
            </w:r>
          </w:p>
        </w:tc>
      </w:tr>
      <w:tr>
        <w:tc>
          <w:tcPr>
            <w:tcW w:type="dxa" w:w="1728"/>
          </w:tcPr>
          <w:p>
            <w:r>
              <w:t>2nd_employee_optional_mail</w:t>
            </w:r>
          </w:p>
        </w:tc>
        <w:tc>
          <w:tcPr>
            <w:tcW w:type="dxa" w:w="1728"/>
          </w:tcPr>
          <w:p>
            <w:r>
              <w:t>String</w:t>
            </w:r>
          </w:p>
        </w:tc>
        <w:tc>
          <w:tcPr>
            <w:tcW w:type="dxa" w:w="1728"/>
          </w:tcPr>
          <w:p>
            <w:r>
              <w:t>No</w:t>
            </w:r>
          </w:p>
        </w:tc>
        <w:tc>
          <w:tcPr>
            <w:tcW w:type="dxa" w:w="1728"/>
          </w:tcPr>
          <w:p>
            <w:r>
              <w:t>Quote Stage</w:t>
            </w:r>
          </w:p>
        </w:tc>
        <w:tc>
          <w:tcPr>
            <w:tcW w:type="dxa" w:w="1728"/>
          </w:tcPr>
          <w:p>
            <w:r>
              <w:t>Additional optional email to be notified when the underwriter action gets triggered.</w:t>
            </w:r>
          </w:p>
        </w:tc>
      </w:tr>
      <w:tr>
        <w:tc>
          <w:tcPr>
            <w:tcW w:type="dxa" w:w="1728"/>
          </w:tcPr>
          <w:p>
            <w:r>
              <w:t>policy_start_date</w:t>
            </w:r>
          </w:p>
        </w:tc>
        <w:tc>
          <w:tcPr>
            <w:tcW w:type="dxa" w:w="1728"/>
          </w:tcPr>
          <w:p>
            <w:r>
              <w:t>Numeric</w:t>
            </w:r>
          </w:p>
        </w:tc>
        <w:tc>
          <w:tcPr>
            <w:tcW w:type="dxa" w:w="1728"/>
          </w:tcPr>
          <w:p>
            <w:r>
              <w:t>Yes</w:t>
            </w:r>
          </w:p>
        </w:tc>
        <w:tc>
          <w:tcPr>
            <w:tcW w:type="dxa" w:w="1728"/>
          </w:tcPr>
          <w:p>
            <w:r>
              <w:t>Quote Stage</w:t>
            </w:r>
          </w:p>
        </w:tc>
        <w:tc>
          <w:tcPr>
            <w:tcW w:type="dxa" w:w="1728"/>
          </w:tcPr>
          <w:p>
            <w:r>
              <w:t>Date format; back-dated policies not allowed.</w:t>
            </w:r>
          </w:p>
        </w:tc>
      </w:tr>
      <w:tr>
        <w:tc>
          <w:tcPr>
            <w:tcW w:type="dxa" w:w="1728"/>
          </w:tcPr>
          <w:p>
            <w:r>
              <w:t>loan_tenure</w:t>
            </w:r>
          </w:p>
        </w:tc>
        <w:tc>
          <w:tcPr>
            <w:tcW w:type="dxa" w:w="1728"/>
          </w:tcPr>
          <w:p>
            <w:r>
              <w:t>Numeric</w:t>
            </w:r>
          </w:p>
        </w:tc>
        <w:tc>
          <w:tcPr>
            <w:tcW w:type="dxa" w:w="1728"/>
          </w:tcPr>
          <w:p>
            <w:r>
              <w:t>Yes</w:t>
            </w:r>
          </w:p>
        </w:tc>
        <w:tc>
          <w:tcPr>
            <w:tcW w:type="dxa" w:w="1728"/>
          </w:tcPr>
          <w:p>
            <w:r>
              <w:t>Quote Stage</w:t>
            </w:r>
          </w:p>
        </w:tc>
        <w:tc>
          <w:tcPr>
            <w:tcW w:type="dxa" w:w="1728"/>
          </w:tcPr>
          <w:p>
            <w:r>
              <w:t>Tenure in months (e.g., 60).</w:t>
            </w:r>
          </w:p>
        </w:tc>
      </w:tr>
      <w:tr>
        <w:tc>
          <w:tcPr>
            <w:tcW w:type="dxa" w:w="1728"/>
          </w:tcPr>
          <w:p>
            <w:r>
              <w:t>payment_method</w:t>
            </w:r>
          </w:p>
        </w:tc>
        <w:tc>
          <w:tcPr>
            <w:tcW w:type="dxa" w:w="1728"/>
          </w:tcPr>
          <w:p>
            <w:r>
              <w:t>String</w:t>
            </w:r>
          </w:p>
        </w:tc>
        <w:tc>
          <w:tcPr>
            <w:tcW w:type="dxa" w:w="1728"/>
          </w:tcPr>
          <w:p>
            <w:r>
              <w:t>Yes</w:t>
            </w:r>
          </w:p>
        </w:tc>
        <w:tc>
          <w:tcPr>
            <w:tcW w:type="dxa" w:w="1728"/>
          </w:tcPr>
          <w:p>
            <w:r>
              <w:t>Quote Stage</w:t>
            </w:r>
          </w:p>
        </w:tc>
        <w:tc>
          <w:tcPr>
            <w:tcW w:type="dxa" w:w="1728"/>
          </w:tcPr>
          <w:p>
            <w:r>
              <w:t>Allowed Values: Single, Monthly.</w:t>
            </w:r>
          </w:p>
        </w:tc>
      </w:tr>
      <w:tr>
        <w:tc>
          <w:tcPr>
            <w:tcW w:type="dxa" w:w="1728"/>
          </w:tcPr>
          <w:p>
            <w:r>
              <w:t>height / weight</w:t>
            </w:r>
          </w:p>
        </w:tc>
        <w:tc>
          <w:tcPr>
            <w:tcW w:type="dxa" w:w="1728"/>
          </w:tcPr>
          <w:p>
            <w:r>
              <w:t>String</w:t>
            </w:r>
          </w:p>
        </w:tc>
        <w:tc>
          <w:tcPr>
            <w:tcW w:type="dxa" w:w="1728"/>
          </w:tcPr>
          <w:p>
            <w:r>
              <w:t>Yes</w:t>
            </w:r>
          </w:p>
        </w:tc>
        <w:tc>
          <w:tcPr>
            <w:tcW w:type="dxa" w:w="1728"/>
          </w:tcPr>
          <w:p>
            <w:r>
              <w:t>Proposal Stage</w:t>
            </w:r>
          </w:p>
        </w:tc>
        <w:tc>
          <w:tcPr>
            <w:tcW w:type="dxa" w:w="1728"/>
          </w:tcPr>
          <w:p>
            <w:r>
              <w:t>Numeric; used for automatic BMI calculation.</w:t>
            </w:r>
          </w:p>
        </w:tc>
      </w:tr>
      <w:tr>
        <w:tc>
          <w:tcPr>
            <w:tcW w:type="dxa" w:w="1728"/>
          </w:tcPr>
          <w:p>
            <w:r>
              <w:t>medical_ques_1..18</w:t>
            </w:r>
          </w:p>
        </w:tc>
        <w:tc>
          <w:tcPr>
            <w:tcW w:type="dxa" w:w="1728"/>
          </w:tcPr>
          <w:p>
            <w:r>
              <w:t>String</w:t>
            </w:r>
          </w:p>
        </w:tc>
        <w:tc>
          <w:tcPr>
            <w:tcW w:type="dxa" w:w="1728"/>
          </w:tcPr>
          <w:p>
            <w:r>
              <w:t>Yes</w:t>
            </w:r>
          </w:p>
        </w:tc>
        <w:tc>
          <w:tcPr>
            <w:tcW w:type="dxa" w:w="1728"/>
          </w:tcPr>
          <w:p>
            <w:r>
              <w:t>Proposal Stage</w:t>
            </w:r>
          </w:p>
        </w:tc>
        <w:tc>
          <w:tcPr>
            <w:tcW w:type="dxa" w:w="1728"/>
          </w:tcPr>
          <w:p>
            <w:r>
              <w:t>Mandatory underwriting medical declarations.</w:t>
            </w:r>
          </w:p>
        </w:tc>
      </w:tr>
      <w:tr>
        <w:tc>
          <w:tcPr>
            <w:tcW w:type="dxa" w:w="1728"/>
          </w:tcPr>
          <w:p>
            <w:r>
              <w:t>marital_status</w:t>
            </w:r>
          </w:p>
        </w:tc>
        <w:tc>
          <w:tcPr>
            <w:tcW w:type="dxa" w:w="1728"/>
          </w:tcPr>
          <w:p>
            <w:r>
              <w:t>String</w:t>
            </w:r>
          </w:p>
        </w:tc>
        <w:tc>
          <w:tcPr>
            <w:tcW w:type="dxa" w:w="1728"/>
          </w:tcPr>
          <w:p>
            <w:r>
              <w:t>Yes</w:t>
            </w:r>
          </w:p>
        </w:tc>
        <w:tc>
          <w:tcPr>
            <w:tcW w:type="dxa" w:w="1728"/>
          </w:tcPr>
          <w:p>
            <w:r>
              <w:t>Proposal Stage</w:t>
            </w:r>
          </w:p>
        </w:tc>
        <w:tc>
          <w:tcPr>
            <w:tcW w:type="dxa" w:w="1728"/>
          </w:tcPr>
          <w:p>
            <w:r>
              <w:t>Allowed: Married, Single, Divorced, Widowed.</w:t>
            </w:r>
          </w:p>
        </w:tc>
      </w:tr>
    </w:tbl>
    <w:p>
      <w:pPr>
        <w:pStyle w:val="Heading3"/>
      </w:pPr>
      <w:r>
        <w:t>3.6 Acceptance Letter Download API</w:t>
      </w:r>
    </w:p>
    <w:p>
      <w:r>
        <w:t>A distinct API endpoint (e.g., GET /api/v1/proposals/{proposal_id}/acceptance-letter) will be created and exposed to allow the customer or partner channel to securely download the Acceptance Letter once generated.</w:t>
      </w:r>
    </w:p>
    <w:p>
      <w:pPr>
        <w:pStyle w:val="Heading3"/>
      </w:pPr>
      <w:r>
        <w:t>3.7 Execution Scenarios</w:t>
      </w:r>
    </w:p>
    <w:p>
      <w:pPr>
        <w:pStyle w:val="ListBullet"/>
      </w:pPr>
      <w:r>
        <w:t>Scenario 1: Successful Single-Call Execution: Client passes valid bearer token in header and complete JSON body (including the new optional fields). System processes Quote Save, Quote Finalize, and Proposal Save steps sequentially. Output: HTTP 200 OK with Proposal ID, allowing the client to upload documents and finalize.</w:t>
      </w:r>
    </w:p>
    <w:p>
      <w:pPr>
        <w:pStyle w:val="ListBullet"/>
      </w:pPr>
      <w:r>
        <w:t>Scenario 2: Header Token Missing or Expired: Client calls API without Authorization header or with expired token. System halts execution immediately. Output: HTTP 401 Unauthorized.</w:t>
      </w:r>
    </w:p>
    <w:p>
      <w:pPr>
        <w:pStyle w:val="ListBullet"/>
      </w:pPr>
      <w:r>
        <w:t>Scenario 3: Quotation-Level &amp; Proposal-Level Validation Failure: Client sends invalid policy_start_date or missing finance_amount or medical questions. System validates and halts before executing Quote steps. Output: HTTP 400 Bad Request with validation errors based on the Field name.</w:t>
      </w:r>
    </w:p>
    <w:p>
      <w:pPr>
        <w:pStyle w:val="Heading2"/>
      </w:pPr>
      <w:r>
        <w:t>4. Impact Analysis</w:t>
      </w:r>
    </w:p>
    <w:p>
      <w:pPr>
        <w:pStyle w:val="ListBullet"/>
      </w:pPr>
      <w:r>
        <w:t>New Business: High positive impact — reduces system latency and network roundtrips for Meethaq Bank integrations, and properly structures the workflow for customer document uploads.</w:t>
      </w:r>
    </w:p>
    <w:p>
      <w:pPr>
        <w:pStyle w:val="ListBullet"/>
      </w:pPr>
      <w:r>
        <w:t>Renewals &amp; Endorsements: No impact — existing endorsement and renewal flows remain unchanged.</w:t>
      </w:r>
    </w:p>
    <w:p>
      <w:pPr>
        <w:pStyle w:val="ListBullet"/>
      </w:pPr>
      <w:r>
        <w:t>CCM (Mail / SMS / WhatsApp): Emails triggered after an underwriter action will now include the issuer_reference_id and be carbon-copied to the 2nd_employee_optional_mail if provided.</w:t>
      </w:r>
    </w:p>
    <w:p>
      <w:pPr>
        <w:pStyle w:val="ListBullet"/>
      </w:pPr>
      <w:r>
        <w:t>B2C Portal / Middleware: No impact — the current flow of calling the four APIs will not be affected and will continue the same. As the new API will be similar to a secondary option to generate a proposal.</w:t>
      </w:r>
    </w:p>
    <w:p>
      <w:pPr>
        <w:pStyle w:val="Heading2"/>
      </w:pPr>
      <w:r>
        <w:t>5. Assumptions</w:t>
      </w:r>
    </w:p>
    <w:p>
      <w:pPr>
        <w:pStyle w:val="ListBullet"/>
      </w:pPr>
      <w:r>
        <w:t>Underlying 4 APIs (Save Quote, Finalize Quote, Save Proposal, Finalize Proposal) remain operational for legacy background tasks.</w:t>
      </w:r>
    </w:p>
    <w:p>
      <w:pPr>
        <w:pStyle w:val="ListBullet"/>
      </w:pPr>
      <w:r>
        <w:t>Document uploading will be handled by a separate client-side action after the successful execution of this consolidated API, followed by a call to the legacy Finalize Proposal API.</w:t>
      </w:r>
    </w:p>
    <w:p>
      <w:pPr>
        <w:pStyle w:val="Heading2"/>
      </w:pPr>
      <w:r>
        <w:t>6. Conclusion</w:t>
      </w:r>
    </w:p>
    <w:p>
      <w:r>
        <w:t>Based on the bank request to implement this Consolidated Quote and Proposal API, Meethaq Islamic Bank will streamline partner channel integration, reduce network latency, and ensure uniform validation across the quotation and initial proposal lifecycle. The exclusion of the finalization step from the wrapper guarantees that customers have the necessary window to upload documents. Knowing that we might be able to integrate with other partners using the same API for faster integration.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