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研修全体を「みなと精機への提案活動」というストーリーでつなぐ。章の冒頭で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ストーリーの説明：ELIソリューションズの営業として、みなと精機に提案する。Day2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みなと精機は架空の会社なので、Web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契約によるデータの扱いの違い（個人向け Premium と法人向け）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3段階判定とマスキングの技法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演習4（10分で個人判定 → 5分で答え合わせ・議論 → 10分でマスキングして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セキュリティ前処理（携帯番号の削除）を忘れる受講者が多い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「来週金曜」が「10月16日（金）」に直っているか、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（「3日間で実施することが決定」など、合意していないことを決定事項にする）例が出たら、全員で共有する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お礼・確認メール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社内報告と行動リスト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演習7：CC に大西部長が入る。</w:t>
      </w:r>
      <w:r>
        <w:rPr>
          <w:rFonts w:ascii="Yu Gothic" w:hAnsi="Yu Gothic" w:eastAsia="游ゴシック"/>
          <w:b/>
        </w:rPr>
        <w:t>「他社と比較検討」「予算を超えたら来期」が書かれていないか</w:t>
      </w:r>
      <w:r>
        <w:rPr>
          <w:rFonts w:ascii="Yu Gothic" w:hAnsi="Yu Gothic" w:eastAsia="游ゴシック"/>
          <w:b w:val="0"/>
        </w:rPr>
        <w:t xml:space="preserve"> 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を必ず最初に行う。直さずに分析すると「製造業」の件数が変わることを見せる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現場課題演習あり／なし：満足度 4.31／3.92、理解度 77.5／71.9、3か月後実践率 </w:t>
      </w:r>
      <w:r>
        <w:rPr>
          <w:rFonts w:ascii="Yu Gothic" w:hAnsi="Yu Gothic" w:eastAsia="游ゴシック"/>
          <w:b/>
        </w:rPr>
        <w:t>60.0％／37.6％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4.25／3.83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製造業 × DX・データ活用（表記ゆれ修正後 35件）：実践率 あり 59.8％（22件）／なし 39.1％（13件）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4,447,500円（税別）</w:t>
      </w:r>
      <w:r>
        <w:rPr>
          <w:rFonts w:ascii="Yu Gothic" w:hAnsi="Yu Gothic" w:eastAsia="游ゴシック"/>
          <w:b w:val="0"/>
        </w:rPr>
        <w:t>。講師料の割引（3クラス以上で5%）と教材費の割引（50名以上で10%）の反映漏れが多い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時間が足りない場合は、1・2・4・5章だけを作らせる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を貼り付け、顧客名「株式会社みなと精機」、商談日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「マスキング設定」に「みなと精機」「佐伯」「大西」「高野」を登録済みであることを見せる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携帯番号・名前が置き換わっていることを確認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