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04834" w:rsidRDefault="00145AC3" w14:paraId="29F4B467" w14:textId="7ED96C02">
      <w:pPr>
        <w:rPr>
          <w:sz w:val="28"/>
          <w:szCs w:val="28"/>
        </w:rPr>
      </w:pPr>
      <w:r>
        <w:rPr>
          <w:rFonts w:hint="eastAsia"/>
          <w:sz w:val="28"/>
          <w:szCs w:val="28"/>
        </w:rPr>
        <w:t>１、</w:t>
      </w:r>
      <w:r w:rsidR="00404834">
        <w:rPr>
          <w:rFonts w:hint="eastAsia"/>
          <w:sz w:val="28"/>
          <w:szCs w:val="28"/>
        </w:rPr>
        <w:t>色</w:t>
      </w:r>
    </w:p>
    <w:p w:rsidR="00EB5820" w:rsidRDefault="00404834" w14:paraId="2F4A6CC8" w14:textId="6F123E80">
      <w:pPr>
        <w:rPr>
          <w:sz w:val="28"/>
          <w:szCs w:val="28"/>
        </w:rPr>
      </w:pPr>
      <w:r w:rsidRPr="00404834">
        <w:rPr>
          <w:sz w:val="28"/>
          <w:szCs w:val="28"/>
        </w:rPr>
        <w:t>若者世代の色彩感覚に関する実態調査</w:t>
      </w:r>
    </w:p>
    <w:p w:rsidR="00357FC7" w:rsidRDefault="00181517" w14:paraId="0AF26111" w14:textId="3734B02E">
      <w:pPr>
        <w:rPr>
          <w:szCs w:val="21"/>
        </w:rPr>
      </w:pPr>
      <w:hyperlink w:history="1" r:id="rId4">
        <w:r w:rsidRPr="00B61FC2">
          <w:rPr>
            <w:rStyle w:val="a3"/>
            <w:szCs w:val="21"/>
          </w:rPr>
          <w:t>https://meigaku.repo.nii.ac.jp/?action=pages_view_main&amp;active_action=repository_view_main_item_detail&amp;item_id=1668&amp;item_no=1&amp;page_id=13&amp;block_id=21</w:t>
        </w:r>
      </w:hyperlink>
    </w:p>
    <w:p w:rsidRPr="00181517" w:rsidR="00181517" w:rsidRDefault="00181517" w14:paraId="6201B60B" w14:textId="77777777">
      <w:pPr>
        <w:rPr>
          <w:rFonts w:hint="eastAsia"/>
          <w:szCs w:val="21"/>
        </w:rPr>
      </w:pPr>
    </w:p>
    <w:p w:rsidR="00404834" w:rsidRDefault="00404834" w14:paraId="48BC77FA" w14:textId="303F2303">
      <w:r>
        <w:t>現在までに実施されたカラーイメージなどの調査を踏襲した結果</w:t>
      </w:r>
      <w:r w:rsidR="00195106">
        <w:t>、</w:t>
      </w:r>
      <w:r>
        <w:t>現代日本人が好きな色には何かしらの傾向がある。以下はそのまとめである</w:t>
      </w:r>
    </w:p>
    <w:p w:rsidR="00404834" w:rsidRDefault="00404834" w14:paraId="7183F9C7" w14:textId="77777777">
      <w:pPr>
        <w:rPr>
          <w:rFonts w:hint="eastAsia"/>
        </w:rPr>
      </w:pPr>
    </w:p>
    <w:p w:rsidR="00404834" w:rsidRDefault="00181517" w14:paraId="0CDAE8FF" w14:textId="6FB8ACB9">
      <w:r>
        <w:t>1.</w:t>
      </w:r>
      <w:r w:rsidR="00404834">
        <w:t>青</w:t>
      </w:r>
      <w:r w:rsidR="00195106">
        <w:t>、</w:t>
      </w:r>
      <w:r w:rsidR="00404834">
        <w:t>緑</w:t>
      </w:r>
      <w:r w:rsidR="00195106">
        <w:t>、</w:t>
      </w:r>
      <w:r w:rsidR="00404834">
        <w:t>白</w:t>
      </w:r>
      <w:r w:rsidR="00195106">
        <w:t>、</w:t>
      </w:r>
      <w:r w:rsidR="00404834">
        <w:t>赤</w:t>
      </w:r>
      <w:r w:rsidR="00195106">
        <w:t>、</w:t>
      </w:r>
      <w:r w:rsidR="00404834">
        <w:t>黒が好まれやすい。</w:t>
      </w:r>
    </w:p>
    <w:p w:rsidR="00404834" w:rsidRDefault="00404834" w14:paraId="59126D18" w14:textId="673090B3">
      <w:r>
        <w:rPr>
          <w:rFonts w:hint="eastAsia"/>
        </w:rPr>
        <w:t>2</w:t>
      </w:r>
      <w:r w:rsidR="00181517">
        <w:rPr>
          <w:rFonts w:hint="eastAsia"/>
        </w:rPr>
        <w:t>.</w:t>
      </w:r>
      <w:r>
        <w:t>鮮やかな色</w:t>
      </w:r>
      <w:r w:rsidR="00195106">
        <w:t>、</w:t>
      </w:r>
      <w:r>
        <w:t>明るい色が好まれやすい。</w:t>
      </w:r>
    </w:p>
    <w:p w:rsidR="00404834" w:rsidRDefault="00404834" w14:paraId="0EFF9C9B" w14:textId="2F7055B4">
      <w:r>
        <w:rPr>
          <w:rFonts w:hint="eastAsia"/>
        </w:rPr>
        <w:t>3</w:t>
      </w:r>
      <w:r w:rsidR="00181517">
        <w:rPr>
          <w:rFonts w:hint="eastAsia"/>
        </w:rPr>
        <w:t>.</w:t>
      </w:r>
      <w:r>
        <w:t>中間色相よりも基本色相が好まれやすい。</w:t>
      </w:r>
    </w:p>
    <w:p w:rsidR="00404834" w:rsidRDefault="00404834" w14:paraId="5A8A25D4" w14:textId="7A68B1E3">
      <w:r>
        <w:rPr>
          <w:rFonts w:hint="eastAsia"/>
        </w:rPr>
        <w:t>4</w:t>
      </w:r>
      <w:r w:rsidR="00181517">
        <w:rPr>
          <w:rFonts w:hint="eastAsia"/>
        </w:rPr>
        <w:t>.</w:t>
      </w:r>
      <w:r>
        <w:t>暗い色</w:t>
      </w:r>
      <w:r w:rsidR="00195106">
        <w:t>、</w:t>
      </w:r>
      <w:r>
        <w:t>鈍い色</w:t>
      </w:r>
      <w:r w:rsidR="00195106">
        <w:t>、</w:t>
      </w:r>
      <w:r>
        <w:t>濁った色は嫌われやすい。</w:t>
      </w:r>
    </w:p>
    <w:p w:rsidR="00404834" w:rsidRDefault="00404834" w14:paraId="7BA5BB93" w14:textId="2019E8D2"/>
    <w:p w:rsidR="00195106" w:rsidRDefault="00404834" w14:paraId="4F831FBE" w14:textId="4F354E5C">
      <w:r>
        <w:t>。本調査では</w:t>
      </w:r>
      <w:r w:rsidR="00195106">
        <w:t>、</w:t>
      </w:r>
      <w:r>
        <w:t>18</w:t>
      </w:r>
      <w:r w:rsidR="00195106">
        <w:t>-</w:t>
      </w:r>
      <w:r>
        <w:t>24歳までの計28名（女性11名</w:t>
      </w:r>
      <w:r w:rsidR="00195106">
        <w:t>、</w:t>
      </w:r>
      <w:r>
        <w:t>男性17名）を被験者とし</w:t>
      </w:r>
      <w:r w:rsidR="00195106">
        <w:t>、</w:t>
      </w:r>
      <w:r>
        <w:t>図1のアンケート表を用いて人気色と各色のイメージ</w:t>
      </w:r>
      <w:r w:rsidR="00195106">
        <w:t>、</w:t>
      </w:r>
      <w:r>
        <w:t>連想語に関する回答を求め</w:t>
      </w:r>
      <w:r w:rsidR="00195106">
        <w:t>、</w:t>
      </w:r>
      <w:r>
        <w:t>その結果</w:t>
      </w:r>
      <w:r w:rsidR="00195106">
        <w:rPr>
          <w:rFonts w:hint="eastAsia"/>
        </w:rPr>
        <w:t>。</w:t>
      </w:r>
    </w:p>
    <w:p w:rsidR="00195106" w:rsidRDefault="00195106" w14:paraId="1FA5B75C" w14:textId="03C9C5DB"/>
    <w:p w:rsidR="00195106" w:rsidRDefault="00195106" w14:paraId="6EB80E9D" w14:textId="261595BF"/>
    <w:p w:rsidRPr="00195106" w:rsidR="00195106" w:rsidRDefault="00145AC3" w14:paraId="251E8BD7" w14:textId="33FDB435">
      <w:pPr>
        <w:rPr>
          <w:rFonts w:hint="eastAsia"/>
          <w:sz w:val="28"/>
          <w:szCs w:val="28"/>
        </w:rPr>
      </w:pPr>
      <w:r>
        <w:rPr>
          <w:rFonts w:hint="eastAsia"/>
          <w:sz w:val="28"/>
          <w:szCs w:val="28"/>
        </w:rPr>
        <w:t>２、</w:t>
      </w:r>
      <w:r w:rsidR="00195106">
        <w:rPr>
          <w:rFonts w:hint="eastAsia"/>
          <w:sz w:val="28"/>
          <w:szCs w:val="28"/>
        </w:rPr>
        <w:t>表示方法</w:t>
      </w:r>
    </w:p>
    <w:p w:rsidR="00195106" w:rsidRDefault="00195106" w14:paraId="1C85A1E6" w14:textId="6A86A292">
      <w:pPr>
        <w:rPr>
          <w:sz w:val="28"/>
          <w:szCs w:val="28"/>
        </w:rPr>
      </w:pPr>
      <w:r w:rsidRPr="00195106">
        <w:rPr>
          <w:sz w:val="28"/>
          <w:szCs w:val="28"/>
        </w:rPr>
        <w:t>待機画面の視覚刺激が選択に及ぼす影響の調査</w:t>
      </w:r>
    </w:p>
    <w:p w:rsidR="00357FC7" w:rsidRDefault="0089754F" w14:paraId="270CADBF" w14:textId="040FDEC3">
      <w:hyperlink w:history="1" r:id="rId5">
        <w:r w:rsidRPr="00B61FC2">
          <w:rPr>
            <w:rStyle w:val="a3"/>
          </w:rPr>
          <w:t>https://dl.nkmr-lab.org/papers/292</w:t>
        </w:r>
      </w:hyperlink>
    </w:p>
    <w:p w:rsidRPr="0089754F" w:rsidR="0089754F" w:rsidRDefault="0089754F" w14:paraId="3FAD4398" w14:textId="77777777">
      <w:pPr>
        <w:rPr>
          <w:rFonts w:hint="eastAsia"/>
        </w:rPr>
      </w:pPr>
    </w:p>
    <w:p w:rsidR="00195106" w:rsidRDefault="00195106" w14:paraId="31E6A827" w14:textId="6A2B181C">
      <w:pPr>
        <w:rPr>
          <w:rFonts w:hint="eastAsia"/>
        </w:rPr>
      </w:pPr>
      <w:r>
        <w:t>インターネット上で通信販売を行うECサイトにおいて</w:t>
      </w:r>
      <w:r>
        <w:t>、</w:t>
      </w:r>
      <w:r>
        <w:t>その会社のおすすめする商品が選択されやすくなるように</w:t>
      </w:r>
      <w:r>
        <w:t>、</w:t>
      </w:r>
      <w:r>
        <w:t>売りたい商品を大きく表示したり</w:t>
      </w:r>
      <w:r>
        <w:t>、</w:t>
      </w:r>
      <w:r>
        <w:t>表示する配置を最上位にしたりなどの工夫がなされている</w:t>
      </w:r>
      <w:r w:rsidR="00766852">
        <w:t>。</w:t>
      </w:r>
      <w:r>
        <w:t>しかし</w:t>
      </w:r>
      <w:r>
        <w:t>、</w:t>
      </w:r>
      <w:r>
        <w:t>ユーザが意思決定の充実感を得るうえで</w:t>
      </w:r>
      <w:r>
        <w:t>、</w:t>
      </w:r>
      <w:r>
        <w:t>他者に依存せず自分の意志で決定したという実感が重要であることが知られており</w:t>
      </w:r>
      <w:r>
        <w:t>、</w:t>
      </w:r>
      <w:r>
        <w:t>前述したような工夫はユーザに選択の圧を感じさせてしまい</w:t>
      </w:r>
      <w:r>
        <w:t>、</w:t>
      </w:r>
      <w:r>
        <w:t>ユーザの意思決定に対する満足度を下げてしまう可能性がある</w:t>
      </w:r>
      <w:r w:rsidR="00766852">
        <w:t>。</w:t>
      </w:r>
      <w:r>
        <w:t>そのため</w:t>
      </w:r>
      <w:r>
        <w:t>、</w:t>
      </w:r>
      <w:r>
        <w:t>選んでほしいものがある場合は</w:t>
      </w:r>
      <w:r>
        <w:t>、</w:t>
      </w:r>
      <w:r>
        <w:t>ユーザに気づかれないように意思決定を誘導する方法を模索する必要がある</w:t>
      </w:r>
      <w:r w:rsidR="00766852">
        <w:t>。</w:t>
      </w:r>
    </w:p>
    <w:p w:rsidR="00404834" w:rsidRDefault="00404834" w14:paraId="7935D009" w14:textId="207AD432"/>
    <w:p w:rsidRPr="00766852" w:rsidR="00766852" w:rsidRDefault="00145AC3" w14:paraId="6ECC5991" w14:textId="272CF460">
      <w:pPr>
        <w:rPr>
          <w:rStyle w:val="a5"/>
          <w:rFonts w:hint="eastAsia" w:eastAsiaTheme="minorHAnsi"/>
          <w:b w:val="0"/>
          <w:bCs w:val="0"/>
          <w:color w:val="000000"/>
          <w:szCs w:val="21"/>
          <w:shd w:val="clear" w:color="auto" w:fill="FFFFFF"/>
        </w:rPr>
      </w:pPr>
      <w:r>
        <w:rPr>
          <w:rFonts w:hint="eastAsia" w:eastAsiaTheme="minorHAnsi"/>
          <w:color w:val="000000"/>
          <w:szCs w:val="21"/>
          <w:shd w:val="clear" w:color="auto" w:fill="FFFFFF"/>
        </w:rPr>
        <w:t>１.</w:t>
      </w:r>
      <w:r>
        <w:rPr>
          <w:rFonts w:eastAsiaTheme="minorHAnsi"/>
          <w:color w:val="000000"/>
          <w:szCs w:val="21"/>
          <w:shd w:val="clear" w:color="auto" w:fill="FFFFFF"/>
        </w:rPr>
        <w:t xml:space="preserve"> </w:t>
      </w:r>
      <w:r w:rsidRPr="004F44AA" w:rsidR="004F44AA">
        <w:rPr>
          <w:rFonts w:hint="eastAsia" w:eastAsiaTheme="minorHAnsi"/>
          <w:color w:val="000000"/>
          <w:szCs w:val="21"/>
          <w:shd w:val="clear" w:color="auto" w:fill="FFFFFF"/>
        </w:rPr>
        <w:t>最も自然な動きは</w:t>
      </w:r>
      <w:r w:rsidR="00766852">
        <w:rPr>
          <w:rFonts w:hint="eastAsia" w:eastAsiaTheme="minorHAnsi"/>
          <w:color w:val="000000"/>
          <w:szCs w:val="21"/>
          <w:shd w:val="clear" w:color="auto" w:fill="FFFFFF"/>
        </w:rPr>
        <w:t>左</w:t>
      </w:r>
      <w:r w:rsidRPr="004F44AA" w:rsidR="004F44AA">
        <w:rPr>
          <w:rFonts w:hint="eastAsia" w:eastAsiaTheme="minorHAnsi"/>
          <w:color w:val="000000"/>
          <w:szCs w:val="21"/>
          <w:shd w:val="clear" w:color="auto" w:fill="FFFFFF"/>
        </w:rPr>
        <w:t>上から</w:t>
      </w:r>
      <w:r w:rsidR="00766852">
        <w:rPr>
          <w:rFonts w:hint="eastAsia" w:eastAsiaTheme="minorHAnsi"/>
          <w:color w:val="000000"/>
          <w:szCs w:val="21"/>
          <w:shd w:val="clear" w:color="auto" w:fill="FFFFFF"/>
        </w:rPr>
        <w:t>右</w:t>
      </w:r>
      <w:r w:rsidRPr="004F44AA" w:rsidR="004F44AA">
        <w:rPr>
          <w:rFonts w:hint="eastAsia" w:eastAsiaTheme="minorHAnsi"/>
          <w:color w:val="000000"/>
          <w:szCs w:val="21"/>
          <w:shd w:val="clear" w:color="auto" w:fill="FFFFFF"/>
        </w:rPr>
        <w:t>下への移動です。WEBサイトも書籍も、文章が縦書きであっても、横書きでも、すべて上から下へと読み進めてい</w:t>
      </w:r>
      <w:r w:rsidR="004F44AA">
        <w:rPr>
          <w:rFonts w:hint="eastAsia" w:eastAsiaTheme="minorHAnsi"/>
          <w:color w:val="000000"/>
          <w:szCs w:val="21"/>
          <w:shd w:val="clear" w:color="auto" w:fill="FFFFFF"/>
        </w:rPr>
        <w:t>くからである</w:t>
      </w:r>
      <w:r w:rsidR="00766852">
        <w:rPr>
          <w:rFonts w:hint="eastAsia" w:eastAsiaTheme="minorHAnsi"/>
          <w:color w:val="000000"/>
          <w:szCs w:val="21"/>
          <w:shd w:val="clear" w:color="auto" w:fill="FFFFFF"/>
        </w:rPr>
        <w:t>。他にもZ型やF型で</w:t>
      </w:r>
      <w:r>
        <w:rPr>
          <w:rFonts w:hint="eastAsia" w:eastAsiaTheme="minorHAnsi"/>
          <w:color w:val="000000"/>
          <w:szCs w:val="21"/>
          <w:shd w:val="clear" w:color="auto" w:fill="FFFFFF"/>
        </w:rPr>
        <w:t>の動きもある。</w:t>
      </w:r>
    </w:p>
    <w:p w:rsidR="00766852" w:rsidRDefault="00766852" w14:paraId="28D9A921" w14:textId="5D0DFC9F">
      <w:pPr>
        <w:rPr>
          <w:rFonts w:eastAsiaTheme="minorHAnsi"/>
          <w:szCs w:val="21"/>
        </w:rPr>
      </w:pPr>
    </w:p>
    <w:p w:rsidR="00145AC3" w:rsidRDefault="00145AC3" w14:paraId="3185ECC4" w14:textId="789C153E">
      <w:pPr>
        <w:rPr>
          <w:rFonts w:hint="eastAsia" w:eastAsiaTheme="minorHAnsi"/>
          <w:szCs w:val="21"/>
        </w:rPr>
      </w:pPr>
      <w:r>
        <w:rPr>
          <w:rFonts w:hint="eastAsia" w:eastAsiaTheme="minorHAnsi"/>
          <w:szCs w:val="21"/>
        </w:rPr>
        <w:t>２. 視線は大きいものから小さいものへ移動する</w:t>
      </w:r>
    </w:p>
    <w:p w:rsidR="00145AC3" w:rsidRDefault="00145AC3" w14:paraId="4F6B6EA3" w14:textId="77777777">
      <w:pPr>
        <w:rPr>
          <w:rFonts w:eastAsiaTheme="minorHAnsi"/>
          <w:szCs w:val="21"/>
        </w:rPr>
      </w:pPr>
    </w:p>
    <w:p w:rsidRPr="004F44AA" w:rsidR="00145AC3" w:rsidP="00145AC3" w:rsidRDefault="00145AC3" w14:paraId="1F835E7A" w14:textId="58DB37CC">
      <w:pPr>
        <w:rPr>
          <w:rFonts w:hint="eastAsia" w:eastAsiaTheme="minorHAnsi"/>
          <w:szCs w:val="21"/>
        </w:rPr>
      </w:pPr>
      <w:r>
        <w:rPr>
          <w:rFonts w:hint="eastAsia" w:eastAsiaTheme="minorHAnsi"/>
          <w:szCs w:val="21"/>
        </w:rPr>
        <w:t>３.</w:t>
      </w:r>
      <w:r>
        <w:rPr>
          <w:rFonts w:eastAsiaTheme="minorHAnsi"/>
          <w:szCs w:val="21"/>
        </w:rPr>
        <w:t xml:space="preserve"> </w:t>
      </w:r>
      <w:r w:rsidRPr="00145AC3">
        <w:rPr>
          <w:rFonts w:hint="eastAsia" w:eastAsiaTheme="minorHAnsi"/>
          <w:color w:val="000000"/>
          <w:szCs w:val="21"/>
          <w:shd w:val="clear" w:color="auto" w:fill="FFFFFF"/>
        </w:rPr>
        <w:t>人の視線は</w:t>
      </w:r>
      <w:r>
        <w:rPr>
          <w:rFonts w:hint="eastAsia" w:eastAsiaTheme="minorHAnsi"/>
          <w:color w:val="000000"/>
          <w:szCs w:val="21"/>
          <w:shd w:val="clear" w:color="auto" w:fill="FFFFFF"/>
        </w:rPr>
        <w:t>近接する</w:t>
      </w:r>
      <w:r w:rsidRPr="00145AC3">
        <w:rPr>
          <w:rFonts w:hint="eastAsia" w:eastAsiaTheme="minorHAnsi"/>
          <w:color w:val="000000"/>
          <w:szCs w:val="21"/>
          <w:shd w:val="clear" w:color="auto" w:fill="FFFFFF"/>
        </w:rPr>
        <w:t>ものに移動していきます。それは、一つの要素を見ている時、近くにある要素がすでに視野に入っているので、僅かな目の移動で見ることができるから</w:t>
      </w:r>
      <w:r w:rsidRPr="00145AC3">
        <w:rPr>
          <w:rFonts w:hint="eastAsia" w:eastAsiaTheme="minorHAnsi"/>
          <w:color w:val="000000"/>
          <w:szCs w:val="21"/>
          <w:shd w:val="clear" w:color="auto" w:fill="FFFFFF"/>
        </w:rPr>
        <w:t>である。</w:t>
      </w:r>
      <w:r w:rsidRPr="00145AC3">
        <w:rPr>
          <w:rFonts w:hint="eastAsia" w:eastAsiaTheme="minorHAnsi"/>
          <w:color w:val="000000"/>
          <w:szCs w:val="21"/>
          <w:shd w:val="clear" w:color="auto" w:fill="FFFFFF"/>
        </w:rPr>
        <w:t>同時に読んでもらいたい要素や、関連性の強い要素は近づけて配置され</w:t>
      </w:r>
      <w:r>
        <w:rPr>
          <w:rFonts w:hint="eastAsia" w:eastAsiaTheme="minorHAnsi"/>
          <w:color w:val="000000"/>
          <w:szCs w:val="21"/>
          <w:shd w:val="clear" w:color="auto" w:fill="FFFFFF"/>
        </w:rPr>
        <w:t>てある。</w:t>
      </w:r>
    </w:p>
    <w:p w:rsidR="00145AC3" w:rsidRDefault="00145AC3" w14:paraId="35C12A2A" w14:textId="4E7B6BD1">
      <w:pPr>
        <w:rPr>
          <w:rFonts w:hint="eastAsia" w:eastAsiaTheme="minorHAnsi"/>
          <w:szCs w:val="21"/>
        </w:rPr>
      </w:pPr>
    </w:p>
    <w:p w:rsidR="00145AC3" w:rsidRDefault="00145AC3" w14:paraId="496EC7F4" w14:textId="0BDC16A5">
      <w:pPr>
        <w:rPr>
          <w:rFonts w:eastAsiaTheme="minorHAnsi"/>
          <w:color w:val="000000"/>
          <w:szCs w:val="21"/>
          <w:shd w:val="clear" w:color="auto" w:fill="FFFFFF"/>
        </w:rPr>
      </w:pPr>
      <w:r>
        <w:rPr>
          <w:rFonts w:hint="eastAsia" w:eastAsiaTheme="minorHAnsi"/>
          <w:szCs w:val="21"/>
        </w:rPr>
        <w:t xml:space="preserve">４. </w:t>
      </w:r>
      <w:r w:rsidRPr="00145AC3">
        <w:rPr>
          <w:rFonts w:hint="eastAsia" w:eastAsiaTheme="minorHAnsi"/>
          <w:color w:val="000000"/>
          <w:szCs w:val="21"/>
          <w:shd w:val="clear" w:color="auto" w:fill="FFFFFF"/>
        </w:rPr>
        <w:t>人の視線は、同じ形や、同じ色を追う傾向があ</w:t>
      </w:r>
      <w:r>
        <w:rPr>
          <w:rFonts w:hint="eastAsia" w:eastAsiaTheme="minorHAnsi"/>
          <w:color w:val="000000"/>
          <w:szCs w:val="21"/>
          <w:shd w:val="clear" w:color="auto" w:fill="FFFFFF"/>
        </w:rPr>
        <w:t>る。</w:t>
      </w:r>
      <w:r w:rsidRPr="00145AC3">
        <w:rPr>
          <w:rFonts w:hint="eastAsia" w:eastAsiaTheme="minorHAnsi"/>
          <w:color w:val="000000"/>
          <w:szCs w:val="21"/>
          <w:shd w:val="clear" w:color="auto" w:fill="FFFFFF"/>
        </w:rPr>
        <w:t>デザインの中で「流れ」を作りたい時、ポイントとして何か特徴的な形を使用すると、視線はこの形を追って読み進め</w:t>
      </w:r>
      <w:r>
        <w:rPr>
          <w:rFonts w:hint="eastAsia" w:eastAsiaTheme="minorHAnsi"/>
          <w:color w:val="000000"/>
          <w:szCs w:val="21"/>
          <w:shd w:val="clear" w:color="auto" w:fill="FFFFFF"/>
        </w:rPr>
        <w:t>る</w:t>
      </w:r>
      <w:r w:rsidRPr="00145AC3">
        <w:rPr>
          <w:rFonts w:hint="eastAsia" w:eastAsiaTheme="minorHAnsi"/>
          <w:color w:val="000000"/>
          <w:szCs w:val="21"/>
          <w:shd w:val="clear" w:color="auto" w:fill="FFFFFF"/>
        </w:rPr>
        <w:t>。また、同じ形や色を繰り返し使うことは、全体に統一感や一貫性を作る効果もあ</w:t>
      </w:r>
      <w:r>
        <w:rPr>
          <w:rFonts w:hint="eastAsia" w:eastAsiaTheme="minorHAnsi"/>
          <w:color w:val="000000"/>
          <w:szCs w:val="21"/>
          <w:shd w:val="clear" w:color="auto" w:fill="FFFFFF"/>
        </w:rPr>
        <w:t>る。</w:t>
      </w:r>
    </w:p>
    <w:p w:rsidR="00145AC3" w:rsidRDefault="00145AC3" w14:paraId="155D7A55" w14:textId="3E2ABFCF">
      <w:pPr>
        <w:rPr>
          <w:rFonts w:eastAsiaTheme="minorHAnsi"/>
          <w:color w:val="000000"/>
          <w:szCs w:val="21"/>
          <w:shd w:val="clear" w:color="auto" w:fill="FFFFFF"/>
        </w:rPr>
      </w:pPr>
    </w:p>
    <w:p w:rsidR="00145AC3" w:rsidRDefault="00145AC3" w14:paraId="090D3322" w14:textId="527CC45B">
      <w:pPr>
        <w:rPr>
          <w:rFonts w:eastAsiaTheme="minorHAnsi"/>
          <w:szCs w:val="21"/>
        </w:rPr>
      </w:pPr>
    </w:p>
    <w:p w:rsidR="00181517" w:rsidP="7AA1234A" w:rsidRDefault="00181517" w14:paraId="033C4750" w14:textId="2CD6DB68">
      <w:pPr>
        <w:rPr>
          <w:rFonts w:eastAsia="游明朝" w:eastAsiaTheme="minorAscii"/>
          <w:sz w:val="28"/>
          <w:szCs w:val="28"/>
        </w:rPr>
      </w:pPr>
      <w:r w:rsidRPr="7AA1234A" w:rsidR="00181517">
        <w:rPr>
          <w:rFonts w:eastAsia="游明朝" w:eastAsiaTheme="minorAscii"/>
          <w:sz w:val="28"/>
          <w:szCs w:val="28"/>
        </w:rPr>
        <w:t>３、文字</w:t>
      </w:r>
    </w:p>
    <w:p w:rsidR="6A1A66D7" w:rsidP="7AA1234A" w:rsidRDefault="6A1A66D7" w14:paraId="3E0F0E55" w14:textId="33CC47F0">
      <w:pPr>
        <w:pStyle w:val="a"/>
        <w:rPr>
          <w:rFonts w:ascii="游明朝" w:hAnsi="游明朝" w:eastAsia="游明朝" w:cs="游明朝"/>
          <w:noProof w:val="0"/>
          <w:sz w:val="28"/>
          <w:szCs w:val="28"/>
          <w:lang w:eastAsia="ja-JP"/>
        </w:rPr>
      </w:pPr>
      <w:r w:rsidRPr="7AA1234A" w:rsidR="6A1A66D7">
        <w:rPr>
          <w:rFonts w:ascii="游明朝" w:hAnsi="游明朝" w:eastAsia="游明朝" w:cs="游明朝"/>
          <w:noProof w:val="0"/>
          <w:sz w:val="28"/>
          <w:szCs w:val="28"/>
          <w:lang w:eastAsia="ja-JP"/>
        </w:rPr>
        <w:t>本文横組版におけるゴシック体と明朝体の読みやすさの比較</w:t>
      </w:r>
    </w:p>
    <w:p w:rsidR="6A1A66D7" w:rsidP="7AA1234A" w:rsidRDefault="6A1A66D7" w14:paraId="30EFA593" w14:textId="33AE13B8">
      <w:pPr>
        <w:pStyle w:val="a"/>
        <w:rPr>
          <w:rFonts w:ascii="游明朝" w:hAnsi="游明朝" w:eastAsia="游明朝" w:cs="游明朝"/>
          <w:noProof w:val="0"/>
          <w:sz w:val="21"/>
          <w:szCs w:val="21"/>
          <w:lang w:eastAsia="ja-JP"/>
        </w:rPr>
      </w:pPr>
      <w:hyperlink r:id="R5f7fdaea585a4a50">
        <w:r w:rsidRPr="7AA1234A" w:rsidR="6A1A66D7">
          <w:rPr>
            <w:rStyle w:val="a3"/>
            <w:rFonts w:ascii="游明朝" w:hAnsi="游明朝" w:eastAsia="游明朝" w:cs="游明朝"/>
            <w:noProof w:val="0"/>
            <w:sz w:val="21"/>
            <w:szCs w:val="21"/>
            <w:lang w:eastAsia="ja-JP"/>
          </w:rPr>
          <w:t>https://www.jstage.jst.go.jp/article/jssd/66/0/66_266/_pdf/-char/ja</w:t>
        </w:r>
      </w:hyperlink>
    </w:p>
    <w:p w:rsidR="7AA1234A" w:rsidP="7AA1234A" w:rsidRDefault="7AA1234A" w14:paraId="36B41A25" w14:textId="064BDE9B">
      <w:pPr>
        <w:pStyle w:val="a"/>
        <w:rPr>
          <w:rFonts w:ascii="游明朝" w:hAnsi="游明朝" w:eastAsia="游明朝" w:cs="游明朝"/>
          <w:noProof w:val="0"/>
          <w:sz w:val="21"/>
          <w:szCs w:val="21"/>
          <w:lang w:eastAsia="ja-JP"/>
        </w:rPr>
      </w:pPr>
    </w:p>
    <w:p w:rsidR="4109E1B7" w:rsidP="7AA1234A" w:rsidRDefault="4109E1B7" w14:paraId="45854EC5" w14:textId="2923A472">
      <w:pPr>
        <w:pStyle w:val="a"/>
        <w:rPr>
          <w:rFonts w:ascii="游明朝" w:hAnsi="游明朝" w:eastAsia="游明朝" w:cs="游明朝"/>
          <w:noProof w:val="0"/>
          <w:sz w:val="21"/>
          <w:szCs w:val="21"/>
          <w:lang w:eastAsia="ja-JP"/>
        </w:rPr>
      </w:pPr>
      <w:r w:rsidRPr="7AA1234A" w:rsidR="4109E1B7">
        <w:rPr>
          <w:rFonts w:ascii="游明朝" w:hAnsi="游明朝" w:eastAsia="游明朝" w:cs="游明朝"/>
          <w:noProof w:val="0"/>
          <w:sz w:val="28"/>
          <w:szCs w:val="28"/>
          <w:lang w:eastAsia="ja-JP"/>
        </w:rPr>
        <w:t xml:space="preserve">実験の方法 </w:t>
      </w:r>
      <w:r w:rsidRPr="7AA1234A" w:rsidR="4109E1B7">
        <w:rPr>
          <w:rFonts w:ascii="游明朝" w:hAnsi="游明朝" w:eastAsia="游明朝" w:cs="游明朝"/>
          <w:noProof w:val="0"/>
          <w:sz w:val="21"/>
          <w:szCs w:val="21"/>
          <w:lang w:eastAsia="ja-JP"/>
        </w:rPr>
        <w:t>　</w:t>
      </w:r>
    </w:p>
    <w:p w:rsidR="3D5AB7FF" w:rsidP="7AA1234A" w:rsidRDefault="3D5AB7FF" w14:paraId="7CF4B4B9" w14:textId="26A37719">
      <w:pPr>
        <w:pStyle w:val="a"/>
        <w:rPr>
          <w:rFonts w:ascii="游明朝" w:hAnsi="游明朝" w:eastAsia="游明朝" w:cs="游明朝"/>
          <w:noProof w:val="0"/>
          <w:sz w:val="21"/>
          <w:szCs w:val="21"/>
          <w:lang w:eastAsia="ja-JP"/>
        </w:rPr>
      </w:pPr>
      <w:r w:rsidRPr="7AA1234A" w:rsidR="3D5AB7FF">
        <w:rPr>
          <w:rFonts w:ascii="游明朝" w:hAnsi="游明朝" w:eastAsia="游明朝" w:cs="游明朝"/>
          <w:noProof w:val="0"/>
          <w:sz w:val="21"/>
          <w:szCs w:val="21"/>
          <w:lang w:eastAsia="ja-JP"/>
        </w:rPr>
        <w:t>被験者：</w:t>
      </w:r>
    </w:p>
    <w:p w:rsidR="4109E1B7" w:rsidP="7AA1234A" w:rsidRDefault="4109E1B7" w14:paraId="0A97579B" w14:textId="7C40C58B">
      <w:pPr>
        <w:pStyle w:val="a"/>
        <w:rPr>
          <w:rFonts w:ascii="游明朝" w:hAnsi="游明朝" w:eastAsia="游明朝" w:cs="游明朝"/>
          <w:noProof w:val="0"/>
          <w:sz w:val="21"/>
          <w:szCs w:val="21"/>
          <w:lang w:eastAsia="ja-JP"/>
        </w:rPr>
      </w:pPr>
      <w:r w:rsidRPr="7AA1234A" w:rsidR="4109E1B7">
        <w:rPr>
          <w:rFonts w:ascii="游明朝" w:hAnsi="游明朝" w:eastAsia="游明朝" w:cs="游明朝"/>
          <w:noProof w:val="0"/>
          <w:sz w:val="21"/>
          <w:szCs w:val="21"/>
          <w:lang w:eastAsia="ja-JP"/>
        </w:rPr>
        <w:t>被験者は、教育学部・教育学研究科で美術・デザインを学ぶ 19歳から25歳の学部生・大学院生28名（うち男性5名、女性23 名）、いずれも視力は1.0以上（矯正含む）であった。</w:t>
      </w:r>
    </w:p>
    <w:p w:rsidR="7AA1234A" w:rsidP="7AA1234A" w:rsidRDefault="7AA1234A" w14:paraId="7DD762C2" w14:textId="215799BE">
      <w:pPr>
        <w:pStyle w:val="a"/>
        <w:rPr>
          <w:rFonts w:ascii="游明朝" w:hAnsi="游明朝" w:eastAsia="游明朝" w:cs="游明朝"/>
          <w:noProof w:val="0"/>
          <w:sz w:val="21"/>
          <w:szCs w:val="21"/>
          <w:lang w:eastAsia="ja-JP"/>
        </w:rPr>
      </w:pPr>
    </w:p>
    <w:p w:rsidR="4109E1B7" w:rsidP="7AA1234A" w:rsidRDefault="4109E1B7" w14:paraId="51C6767F" w14:textId="2DCD8D6B">
      <w:pPr>
        <w:pStyle w:val="a"/>
        <w:rPr>
          <w:rFonts w:ascii="游明朝" w:hAnsi="游明朝" w:eastAsia="游明朝" w:cs="游明朝"/>
          <w:noProof w:val="0"/>
          <w:sz w:val="21"/>
          <w:szCs w:val="21"/>
          <w:lang w:eastAsia="ja-JP"/>
        </w:rPr>
      </w:pPr>
      <w:r w:rsidRPr="7AA1234A" w:rsidR="4109E1B7">
        <w:rPr>
          <w:rFonts w:ascii="游明朝" w:hAnsi="游明朝" w:eastAsia="游明朝" w:cs="游明朝"/>
          <w:noProof w:val="0"/>
          <w:sz w:val="21"/>
          <w:szCs w:val="21"/>
          <w:lang w:eastAsia="ja-JP"/>
        </w:rPr>
        <w:t xml:space="preserve"> 実験装置</w:t>
      </w:r>
      <w:r w:rsidRPr="7AA1234A" w:rsidR="3DDEEA21">
        <w:rPr>
          <w:rFonts w:ascii="游明朝" w:hAnsi="游明朝" w:eastAsia="游明朝" w:cs="游明朝"/>
          <w:noProof w:val="0"/>
          <w:sz w:val="21"/>
          <w:szCs w:val="21"/>
          <w:lang w:eastAsia="ja-JP"/>
        </w:rPr>
        <w:t>：</w:t>
      </w:r>
    </w:p>
    <w:p w:rsidR="4109E1B7" w:rsidP="7AA1234A" w:rsidRDefault="4109E1B7" w14:paraId="3993F35E" w14:textId="0C12E37B">
      <w:pPr>
        <w:pStyle w:val="a"/>
        <w:rPr>
          <w:rFonts w:ascii="游明朝" w:hAnsi="游明朝" w:eastAsia="游明朝" w:cs="游明朝"/>
          <w:noProof w:val="0"/>
          <w:sz w:val="21"/>
          <w:szCs w:val="21"/>
          <w:lang w:eastAsia="ja-JP"/>
        </w:rPr>
      </w:pPr>
      <w:r w:rsidRPr="7AA1234A" w:rsidR="4109E1B7">
        <w:rPr>
          <w:rFonts w:ascii="游明朝" w:hAnsi="游明朝" w:eastAsia="游明朝" w:cs="游明朝"/>
          <w:noProof w:val="0"/>
          <w:sz w:val="21"/>
          <w:szCs w:val="21"/>
          <w:lang w:eastAsia="ja-JP"/>
        </w:rPr>
        <w:t>ディスプレイは、24型液晶（Philips社製243S）で、画面サイ ズは23.8インチ（60.5cm）フルHD（1920 x 1080画素）、原寸 解像度はおよそ92ppi、表示輝度最大250cd/m2であった。ディ スプレイ表示に用いたPCは、Lenovo社製ThinkPadでCPUが Intel Core i7-6600U、動作周波数2.60GHz、メモリ8GB、ビデ オチップはIntel HD Graphics 520（CPU内蔵）、OSはWindows 7であった。使用した眼球運動測定器はTobii社製X3-120、サンプリングレート120Hz、瞳孔検出距離50cm ～ 90cmで、USB3.0 でPCに接続した。モニタから回答者の顔（瞳孔）までの距離 は約60cmになるよう調整した（図1）。呈示ソフトにTobii Pro Studioを用い、刺激となるPDFファイルを取り込んで構成した。</w:t>
      </w:r>
    </w:p>
    <w:p w:rsidR="7AA1234A" w:rsidP="7AA1234A" w:rsidRDefault="7AA1234A" w14:paraId="4303EAF7" w14:textId="646052B9">
      <w:pPr>
        <w:pStyle w:val="a"/>
        <w:rPr>
          <w:rFonts w:ascii="游明朝" w:hAnsi="游明朝" w:eastAsia="游明朝" w:cs="游明朝"/>
          <w:noProof w:val="0"/>
          <w:sz w:val="21"/>
          <w:szCs w:val="21"/>
          <w:lang w:eastAsia="ja-JP"/>
        </w:rPr>
      </w:pPr>
    </w:p>
    <w:p w:rsidR="6C8A73E5" w:rsidP="7AA1234A" w:rsidRDefault="6C8A73E5" w14:paraId="5FB9DE38" w14:textId="36D77C4A">
      <w:pPr>
        <w:pStyle w:val="a"/>
        <w:rPr>
          <w:rFonts w:ascii="游明朝" w:hAnsi="游明朝" w:eastAsia="游明朝" w:cs="游明朝"/>
          <w:noProof w:val="0"/>
          <w:sz w:val="21"/>
          <w:szCs w:val="21"/>
          <w:lang w:eastAsia="ja-JP"/>
        </w:rPr>
      </w:pPr>
      <w:r w:rsidRPr="7AA1234A" w:rsidR="6C8A73E5">
        <w:rPr>
          <w:rFonts w:ascii="游明朝" w:hAnsi="游明朝" w:eastAsia="游明朝" w:cs="游明朝"/>
          <w:noProof w:val="0"/>
          <w:sz w:val="21"/>
          <w:szCs w:val="21"/>
          <w:lang w:eastAsia="ja-JP"/>
        </w:rPr>
        <w:t xml:space="preserve">実験条件 </w:t>
      </w:r>
      <w:r w:rsidRPr="7AA1234A" w:rsidR="7957A0AD">
        <w:rPr>
          <w:rFonts w:ascii="游明朝" w:hAnsi="游明朝" w:eastAsia="游明朝" w:cs="游明朝"/>
          <w:noProof w:val="0"/>
          <w:sz w:val="21"/>
          <w:szCs w:val="21"/>
          <w:lang w:eastAsia="ja-JP"/>
        </w:rPr>
        <w:t>：</w:t>
      </w:r>
      <w:r w:rsidRPr="7AA1234A" w:rsidR="6C8A73E5">
        <w:rPr>
          <w:rFonts w:ascii="游明朝" w:hAnsi="游明朝" w:eastAsia="游明朝" w:cs="游明朝"/>
          <w:noProof w:val="0"/>
          <w:sz w:val="21"/>
          <w:szCs w:val="21"/>
          <w:lang w:eastAsia="ja-JP"/>
        </w:rPr>
        <w:t>　</w:t>
      </w:r>
    </w:p>
    <w:p w:rsidR="6C8A73E5" w:rsidP="7AA1234A" w:rsidRDefault="6C8A73E5" w14:paraId="3307244B" w14:textId="322C6AAA">
      <w:pPr>
        <w:pStyle w:val="a"/>
        <w:rPr>
          <w:rFonts w:ascii="游明朝" w:hAnsi="游明朝" w:eastAsia="游明朝" w:cs="游明朝"/>
          <w:noProof w:val="0"/>
          <w:sz w:val="21"/>
          <w:szCs w:val="21"/>
          <w:lang w:eastAsia="ja-JP"/>
        </w:rPr>
      </w:pPr>
      <w:r w:rsidRPr="7AA1234A" w:rsidR="6C8A73E5">
        <w:rPr>
          <w:rFonts w:ascii="游明朝" w:hAnsi="游明朝" w:eastAsia="游明朝" w:cs="游明朝"/>
          <w:noProof w:val="0"/>
          <w:sz w:val="21"/>
          <w:szCs w:val="21"/>
          <w:lang w:eastAsia="ja-JP"/>
        </w:rPr>
        <w:t>実験刺激は、Adobe InDesignによりA4用紙横位置を設定し、 中央に横組み25字詰め16行を割り付けた。白地の背景（220.0cd/ m2）に黒い文字（1.25cd/m2）とした。書体は、大きさの単 位としてミリ換算しやすい級数（Q＝0.25mm）と歯数（H＝ 0.25mm）を採用し、それぞれ12Q（3mm、約8.5pt、版面幅 75mm）（図2）、16Q（4mm、約11.3pt、版面幅100mm）（図3）、 24Q（6mm、約17pt、版面幅150mm）（図4）の3段階、行送り はそれぞれの文字サイズにつき二分（50%）アキを維持するよ う18H（4.5mm、約12.8pt）、24H（6mm、約17pt）、36H（9mm、 約25.5pt）とした。書体は、ゴシック体に「游ゴシック体ミディ アム」と明朝体に「游明朝体ミディアム」を採用し、それぞれ の文字サイズでペアとした</w:t>
      </w:r>
    </w:p>
    <w:p w:rsidR="556FAB87" w:rsidP="7AA1234A" w:rsidRDefault="556FAB87" w14:paraId="6B401288" w14:textId="6BB274BA">
      <w:pPr>
        <w:pStyle w:val="a"/>
        <w:rPr>
          <w:rFonts w:ascii="游明朝" w:hAnsi="游明朝" w:eastAsia="游明朝" w:cs="游明朝"/>
          <w:noProof w:val="0"/>
          <w:sz w:val="21"/>
          <w:szCs w:val="21"/>
          <w:lang w:eastAsia="ja-JP"/>
        </w:rPr>
      </w:pPr>
      <w:r w:rsidR="556FAB87">
        <w:drawing>
          <wp:inline wp14:editId="2CB6765A" wp14:anchorId="73FD8C69">
            <wp:extent cx="5657850" cy="2234353"/>
            <wp:effectExtent l="0" t="0" r="0" b="0"/>
            <wp:docPr id="1095467662" name="" title=""/>
            <wp:cNvGraphicFramePr>
              <a:graphicFrameLocks noChangeAspect="1"/>
            </wp:cNvGraphicFramePr>
            <a:graphic>
              <a:graphicData uri="http://schemas.openxmlformats.org/drawingml/2006/picture">
                <pic:pic>
                  <pic:nvPicPr>
                    <pic:cNvPr id="0" name=""/>
                    <pic:cNvPicPr/>
                  </pic:nvPicPr>
                  <pic:blipFill>
                    <a:blip r:embed="R44788201a0324a13">
                      <a:extLst>
                        <a:ext xmlns:a="http://schemas.openxmlformats.org/drawingml/2006/main" uri="{28A0092B-C50C-407E-A947-70E740481C1C}">
                          <a14:useLocalDpi val="0"/>
                        </a:ext>
                      </a:extLst>
                    </a:blip>
                    <a:stretch>
                      <a:fillRect/>
                    </a:stretch>
                  </pic:blipFill>
                  <pic:spPr>
                    <a:xfrm>
                      <a:off x="0" y="0"/>
                      <a:ext cx="5657850" cy="2234353"/>
                    </a:xfrm>
                    <a:prstGeom prst="rect">
                      <a:avLst/>
                    </a:prstGeom>
                  </pic:spPr>
                </pic:pic>
              </a:graphicData>
            </a:graphic>
          </wp:inline>
        </w:drawing>
      </w:r>
    </w:p>
    <w:p w:rsidR="7AA1234A" w:rsidP="7AA1234A" w:rsidRDefault="7AA1234A" w14:paraId="043F7623" w14:textId="03C84DB4">
      <w:pPr>
        <w:pStyle w:val="a"/>
        <w:rPr>
          <w:rFonts w:eastAsia="游明朝" w:eastAsiaTheme="minorAscii"/>
          <w:sz w:val="21"/>
          <w:szCs w:val="21"/>
        </w:rPr>
      </w:pPr>
    </w:p>
    <w:p w:rsidR="61AC8BED" w:rsidP="7AA1234A" w:rsidRDefault="61AC8BED" w14:paraId="276D12C1" w14:textId="2AAAAEFC">
      <w:pPr>
        <w:pStyle w:val="a"/>
        <w:rPr>
          <w:rFonts w:eastAsia="游明朝" w:eastAsiaTheme="minorAscii"/>
          <w:sz w:val="28"/>
          <w:szCs w:val="28"/>
        </w:rPr>
      </w:pPr>
      <w:r w:rsidRPr="7AA1234A" w:rsidR="61AC8BED">
        <w:rPr>
          <w:rFonts w:eastAsia="游明朝" w:eastAsiaTheme="minorAscii"/>
          <w:sz w:val="28"/>
          <w:szCs w:val="28"/>
        </w:rPr>
        <w:t>結果と考察</w:t>
      </w:r>
    </w:p>
    <w:p w:rsidR="6A1A66D7" w:rsidP="7AA1234A" w:rsidRDefault="6A1A66D7" w14:paraId="734269FB" w14:textId="7C15C9D1">
      <w:pPr>
        <w:pStyle w:val="a"/>
        <w:rPr>
          <w:rFonts w:eastAsia="游明朝" w:eastAsiaTheme="minorAscii"/>
          <w:sz w:val="21"/>
          <w:szCs w:val="21"/>
        </w:rPr>
      </w:pPr>
      <w:r w:rsidRPr="7AA1234A" w:rsidR="6A1A66D7">
        <w:rPr>
          <w:rFonts w:eastAsia="游明朝" w:eastAsiaTheme="minorAscii"/>
          <w:sz w:val="21"/>
          <w:szCs w:val="21"/>
        </w:rPr>
        <w:t>文字サイズ</w:t>
      </w:r>
      <w:r w:rsidRPr="7AA1234A" w:rsidR="243F02B2">
        <w:rPr>
          <w:rFonts w:eastAsia="游明朝" w:eastAsiaTheme="minorAscii"/>
          <w:sz w:val="21"/>
          <w:szCs w:val="21"/>
        </w:rPr>
        <w:t>：</w:t>
      </w:r>
    </w:p>
    <w:p w:rsidR="6A1A66D7" w:rsidP="7AA1234A" w:rsidRDefault="6A1A66D7" w14:paraId="52D7EA61" w14:textId="2925E435">
      <w:pPr>
        <w:pStyle w:val="a"/>
        <w:rPr>
          <w:rFonts w:ascii="游明朝" w:hAnsi="游明朝" w:eastAsia="游明朝" w:cs="游明朝"/>
          <w:noProof w:val="0"/>
          <w:sz w:val="21"/>
          <w:szCs w:val="21"/>
          <w:lang w:eastAsia="ja-JP"/>
        </w:rPr>
      </w:pPr>
      <w:r w:rsidRPr="7AA1234A" w:rsidR="6A1A66D7">
        <w:rPr>
          <w:rFonts w:ascii="游明朝" w:hAnsi="游明朝" w:eastAsia="游明朝" w:cs="游明朝"/>
          <w:noProof w:val="0"/>
          <w:sz w:val="21"/>
          <w:szCs w:val="21"/>
          <w:lang w:eastAsia="ja-JP"/>
        </w:rPr>
        <w:t>図7に各サイズ別の停留回数、図8にその読了時間を示した。 全体として、文字サイズが小さい方が早く読める傾向にあった。 感想においては「小さい方が一気に読めて見やすい」「目を動 かさずに読めた」「早く読める気がする」「目は疲れたが読む速 度は上がった気がした」などの意見がみられた。一方大サイズ については「大きい文字は読みやすいが、目の移動が大きく内 容が頭に入ってこなかった」「大きい文字は全体がパッと見え ない」「大きすぎると見にくい」「圧迫感があった」「目がチカ チカした」など、狭い視野角で全体が把握できる小サイズ優位 を指摘する意見が複数みられた。</w:t>
      </w:r>
    </w:p>
    <w:p w:rsidR="6E644F3D" w:rsidP="7AA1234A" w:rsidRDefault="6E644F3D" w14:paraId="637B5327" w14:textId="659CA158">
      <w:pPr>
        <w:pStyle w:val="a"/>
      </w:pPr>
      <w:r w:rsidR="6E644F3D">
        <w:drawing>
          <wp:inline wp14:editId="188467C9" wp14:anchorId="4905FBF9">
            <wp:extent cx="2530548" cy="2200275"/>
            <wp:effectExtent l="0" t="0" r="0" b="0"/>
            <wp:docPr id="608307581" name="" title=""/>
            <wp:cNvGraphicFramePr>
              <a:graphicFrameLocks noChangeAspect="1"/>
            </wp:cNvGraphicFramePr>
            <a:graphic>
              <a:graphicData uri="http://schemas.openxmlformats.org/drawingml/2006/picture">
                <pic:pic>
                  <pic:nvPicPr>
                    <pic:cNvPr id="0" name=""/>
                    <pic:cNvPicPr/>
                  </pic:nvPicPr>
                  <pic:blipFill>
                    <a:blip r:embed="R3df89fae8d7c42c8">
                      <a:extLst>
                        <a:ext xmlns:a="http://schemas.openxmlformats.org/drawingml/2006/main" uri="{28A0092B-C50C-407E-A947-70E740481C1C}">
                          <a14:useLocalDpi val="0"/>
                        </a:ext>
                      </a:extLst>
                    </a:blip>
                    <a:stretch>
                      <a:fillRect/>
                    </a:stretch>
                  </pic:blipFill>
                  <pic:spPr>
                    <a:xfrm>
                      <a:off x="0" y="0"/>
                      <a:ext cx="2530548" cy="2200275"/>
                    </a:xfrm>
                    <a:prstGeom prst="rect">
                      <a:avLst/>
                    </a:prstGeom>
                  </pic:spPr>
                </pic:pic>
              </a:graphicData>
            </a:graphic>
          </wp:inline>
        </w:drawing>
      </w:r>
    </w:p>
    <w:p w:rsidR="47D45D94" w:rsidP="7AA1234A" w:rsidRDefault="47D45D94" w14:paraId="4F5E9BBD" w14:textId="059D1346">
      <w:pPr>
        <w:pStyle w:val="a"/>
      </w:pPr>
      <w:r w:rsidR="47D45D94">
        <w:drawing>
          <wp:inline wp14:editId="2E53B57F" wp14:anchorId="1FFB9026">
            <wp:extent cx="2667000" cy="1438275"/>
            <wp:effectExtent l="0" t="0" r="0" b="0"/>
            <wp:docPr id="1820499300" name="" title=""/>
            <wp:cNvGraphicFramePr>
              <a:graphicFrameLocks noChangeAspect="1"/>
            </wp:cNvGraphicFramePr>
            <a:graphic>
              <a:graphicData uri="http://schemas.openxmlformats.org/drawingml/2006/picture">
                <pic:pic>
                  <pic:nvPicPr>
                    <pic:cNvPr id="0" name=""/>
                    <pic:cNvPicPr/>
                  </pic:nvPicPr>
                  <pic:blipFill>
                    <a:blip r:embed="R306504d3739b423c">
                      <a:extLst>
                        <a:ext xmlns:a="http://schemas.openxmlformats.org/drawingml/2006/main" uri="{28A0092B-C50C-407E-A947-70E740481C1C}">
                          <a14:useLocalDpi val="0"/>
                        </a:ext>
                      </a:extLst>
                    </a:blip>
                    <a:stretch>
                      <a:fillRect/>
                    </a:stretch>
                  </pic:blipFill>
                  <pic:spPr>
                    <a:xfrm>
                      <a:off x="0" y="0"/>
                      <a:ext cx="2667000" cy="1438275"/>
                    </a:xfrm>
                    <a:prstGeom prst="rect">
                      <a:avLst/>
                    </a:prstGeom>
                  </pic:spPr>
                </pic:pic>
              </a:graphicData>
            </a:graphic>
          </wp:inline>
        </w:drawing>
      </w:r>
      <w:r w:rsidR="47D45D94">
        <w:drawing>
          <wp:inline wp14:editId="1B106ABA" wp14:anchorId="314DD1E5">
            <wp:extent cx="2645138" cy="1474148"/>
            <wp:effectExtent l="0" t="0" r="0" b="0"/>
            <wp:docPr id="231725119" name="" title=""/>
            <wp:cNvGraphicFramePr>
              <a:graphicFrameLocks noChangeAspect="1"/>
            </wp:cNvGraphicFramePr>
            <a:graphic>
              <a:graphicData uri="http://schemas.openxmlformats.org/drawingml/2006/picture">
                <pic:pic>
                  <pic:nvPicPr>
                    <pic:cNvPr id="0" name=""/>
                    <pic:cNvPicPr/>
                  </pic:nvPicPr>
                  <pic:blipFill>
                    <a:blip r:embed="R4231fe5218724ef4">
                      <a:extLst>
                        <a:ext xmlns:a="http://schemas.openxmlformats.org/drawingml/2006/main" uri="{28A0092B-C50C-407E-A947-70E740481C1C}">
                          <a14:useLocalDpi val="0"/>
                        </a:ext>
                      </a:extLst>
                    </a:blip>
                    <a:stretch>
                      <a:fillRect/>
                    </a:stretch>
                  </pic:blipFill>
                  <pic:spPr>
                    <a:xfrm>
                      <a:off x="0" y="0"/>
                      <a:ext cx="2645138" cy="1474148"/>
                    </a:xfrm>
                    <a:prstGeom prst="rect">
                      <a:avLst/>
                    </a:prstGeom>
                  </pic:spPr>
                </pic:pic>
              </a:graphicData>
            </a:graphic>
          </wp:inline>
        </w:drawing>
      </w:r>
    </w:p>
    <w:p w:rsidR="7AA1234A" w:rsidP="7AA1234A" w:rsidRDefault="7AA1234A" w14:paraId="7D9F094F" w14:textId="3850447D">
      <w:pPr>
        <w:pStyle w:val="a"/>
        <w:rPr>
          <w:rFonts w:ascii="游明朝" w:hAnsi="游明朝" w:eastAsia="游明朝" w:cs="游明朝"/>
          <w:noProof w:val="0"/>
          <w:sz w:val="21"/>
          <w:szCs w:val="21"/>
          <w:lang w:eastAsia="ja-JP"/>
        </w:rPr>
      </w:pPr>
    </w:p>
    <w:p w:rsidR="47D45D94" w:rsidP="7AA1234A" w:rsidRDefault="47D45D94" w14:paraId="1E896CEF" w14:textId="1E64F60E">
      <w:pPr>
        <w:pStyle w:val="a"/>
        <w:rPr>
          <w:rFonts w:ascii="游明朝" w:hAnsi="游明朝" w:eastAsia="游明朝" w:cs="游明朝"/>
          <w:noProof w:val="0"/>
          <w:sz w:val="21"/>
          <w:szCs w:val="21"/>
          <w:lang w:eastAsia="ja-JP"/>
        </w:rPr>
      </w:pPr>
      <w:r w:rsidRPr="7AA1234A" w:rsidR="47D45D94">
        <w:rPr>
          <w:rFonts w:ascii="游明朝" w:hAnsi="游明朝" w:eastAsia="游明朝" w:cs="游明朝"/>
          <w:noProof w:val="0"/>
          <w:sz w:val="21"/>
          <w:szCs w:val="21"/>
          <w:lang w:eastAsia="ja-JP"/>
        </w:rPr>
        <w:t xml:space="preserve"> 書体：</w:t>
      </w:r>
    </w:p>
    <w:p w:rsidR="47D45D94" w:rsidP="7AA1234A" w:rsidRDefault="47D45D94" w14:paraId="1FA4D584" w14:textId="02C972C6">
      <w:pPr>
        <w:pStyle w:val="a"/>
        <w:rPr>
          <w:rFonts w:ascii="游明朝" w:hAnsi="游明朝" w:eastAsia="游明朝" w:cs="游明朝"/>
          <w:noProof w:val="0"/>
          <w:sz w:val="21"/>
          <w:szCs w:val="21"/>
          <w:lang w:eastAsia="ja-JP"/>
        </w:rPr>
      </w:pPr>
      <w:r w:rsidRPr="7AA1234A" w:rsidR="47D45D94">
        <w:rPr>
          <w:rFonts w:ascii="游明朝" w:hAnsi="游明朝" w:eastAsia="游明朝" w:cs="游明朝"/>
          <w:noProof w:val="0"/>
          <w:sz w:val="21"/>
          <w:szCs w:val="21"/>
          <w:lang w:eastAsia="ja-JP"/>
        </w:rPr>
        <w:t>書体については、小さい文字サイズの12Qでは、ゴシック体 よりも明朝体の方が停留回数が少なく、読了時間も短い。「明 朝体の方が行間が見えて読みやすい」などの意見がみられた一 方、ゴシック体については「漢字が小さくて読みにくかった」 「読んでいて次の行に移る時、どこの行か迷ってしまった」「行 間がせまく視線がゆれてしまう」などの意見があった。これは、 モニタの解像度が低い（およそ92ppi）ため、明朝体に比べて 横画が太いゴシック体に影響が出ている可能性もある。一方、 大きい文字サイズにおいても、ゴシック体よりも明朝体の方が 停留回数が少なく読了時間が短い結果となった。</w:t>
      </w:r>
    </w:p>
    <w:sectPr w:rsidRPr="00181517" w:rsidR="00181517">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34"/>
    <w:rsid w:val="00145AC3"/>
    <w:rsid w:val="00181517"/>
    <w:rsid w:val="00195106"/>
    <w:rsid w:val="002954BF"/>
    <w:rsid w:val="00357FC7"/>
    <w:rsid w:val="00404834"/>
    <w:rsid w:val="004F44AA"/>
    <w:rsid w:val="00766852"/>
    <w:rsid w:val="00895266"/>
    <w:rsid w:val="0089754F"/>
    <w:rsid w:val="00EB5820"/>
    <w:rsid w:val="00F73C72"/>
    <w:rsid w:val="0460D2E4"/>
    <w:rsid w:val="09D03705"/>
    <w:rsid w:val="0E966865"/>
    <w:rsid w:val="11CE0927"/>
    <w:rsid w:val="213036E9"/>
    <w:rsid w:val="21FA60F1"/>
    <w:rsid w:val="243F02B2"/>
    <w:rsid w:val="24CB4302"/>
    <w:rsid w:val="27865010"/>
    <w:rsid w:val="3D5AB7FF"/>
    <w:rsid w:val="3DDEEA21"/>
    <w:rsid w:val="405D1059"/>
    <w:rsid w:val="4109E1B7"/>
    <w:rsid w:val="42C9264D"/>
    <w:rsid w:val="44A8BEAD"/>
    <w:rsid w:val="47D45D94"/>
    <w:rsid w:val="556FAB87"/>
    <w:rsid w:val="61AA1862"/>
    <w:rsid w:val="61AC8BED"/>
    <w:rsid w:val="61D748B5"/>
    <w:rsid w:val="64EDA1BE"/>
    <w:rsid w:val="667D8985"/>
    <w:rsid w:val="6A1A66D7"/>
    <w:rsid w:val="6C8A73E5"/>
    <w:rsid w:val="6E644F3D"/>
    <w:rsid w:val="700B436E"/>
    <w:rsid w:val="72524966"/>
    <w:rsid w:val="7570C1CB"/>
    <w:rsid w:val="78A8628D"/>
    <w:rsid w:val="7957A0AD"/>
    <w:rsid w:val="7AA1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958CE96"/>
  <w15:chartTrackingRefBased/>
  <w15:docId w15:val="{227F9085-9D0E-42D5-BE83-AF10FBCC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paragraph" w:styleId="2">
    <w:name w:val="heading 2"/>
    <w:basedOn w:val="a"/>
    <w:link w:val="20"/>
    <w:uiPriority w:val="9"/>
    <w:qFormat/>
    <w:rsid w:val="00181517"/>
    <w:pPr>
      <w:widowControl/>
      <w:spacing w:before="100" w:beforeAutospacing="1" w:after="100" w:afterAutospacing="1"/>
      <w:jc w:val="left"/>
      <w:outlineLvl w:val="1"/>
    </w:pPr>
    <w:rPr>
      <w:rFonts w:ascii="ＭＳ Ｐゴシック" w:hAnsi="ＭＳ Ｐゴシック" w:eastAsia="ＭＳ Ｐゴシック" w:cs="ＭＳ Ｐゴシック"/>
      <w:b/>
      <w:bCs/>
      <w:kern w:val="0"/>
      <w:sz w:val="36"/>
      <w:szCs w:val="3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basedOn w:val="a0"/>
    <w:uiPriority w:val="99"/>
    <w:unhideWhenUsed/>
    <w:rsid w:val="00404834"/>
    <w:rPr>
      <w:color w:val="0563C1" w:themeColor="hyperlink"/>
      <w:u w:val="single"/>
    </w:rPr>
  </w:style>
  <w:style w:type="character" w:styleId="a4">
    <w:name w:val="Unresolved Mention"/>
    <w:basedOn w:val="a0"/>
    <w:uiPriority w:val="99"/>
    <w:semiHidden/>
    <w:unhideWhenUsed/>
    <w:rsid w:val="00404834"/>
    <w:rPr>
      <w:color w:val="605E5C"/>
      <w:shd w:val="clear" w:color="auto" w:fill="E1DFDD"/>
    </w:rPr>
  </w:style>
  <w:style w:type="character" w:styleId="a5">
    <w:name w:val="Strong"/>
    <w:basedOn w:val="a0"/>
    <w:uiPriority w:val="22"/>
    <w:qFormat/>
    <w:rsid w:val="004F44AA"/>
    <w:rPr>
      <w:b/>
      <w:bCs/>
    </w:rPr>
  </w:style>
  <w:style w:type="character" w:styleId="20" w:customStyle="1">
    <w:name w:val="見出し 2 (文字)"/>
    <w:basedOn w:val="a0"/>
    <w:link w:val="2"/>
    <w:uiPriority w:val="9"/>
    <w:rsid w:val="00181517"/>
    <w:rPr>
      <w:rFonts w:ascii="ＭＳ Ｐゴシック" w:hAnsi="ＭＳ Ｐゴシック" w:eastAsia="ＭＳ Ｐゴシック" w:cs="ＭＳ Ｐゴシック"/>
      <w:b/>
      <w:bCs/>
      <w:kern w:val="0"/>
      <w:sz w:val="36"/>
      <w:szCs w:val="36"/>
    </w:rPr>
  </w:style>
  <w:style w:type="character" w:styleId="book-title-trd" w:customStyle="1">
    <w:name w:val="book-title-trd"/>
    <w:basedOn w:val="a0"/>
    <w:rsid w:val="00181517"/>
  </w:style>
  <w:style w:type="character" w:styleId="a6">
    <w:name w:val="FollowedHyperlink"/>
    <w:basedOn w:val="a0"/>
    <w:uiPriority w:val="99"/>
    <w:semiHidden/>
    <w:unhideWhenUsed/>
    <w:rsid w:val="008975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98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https://dl.nkmr-lab.org/papers/292" TargetMode="External" Id="rId5" /><Relationship Type="http://schemas.openxmlformats.org/officeDocument/2006/relationships/hyperlink" Target="https://meigaku.repo.nii.ac.jp/?action=pages_view_main&amp;active_action=repository_view_main_item_detail&amp;item_id=1668&amp;item_no=1&amp;page_id=13&amp;block_id=21" TargetMode="External" Id="rId4" /><Relationship Type="http://schemas.openxmlformats.org/officeDocument/2006/relationships/hyperlink" Target="https://www.jstage.jst.go.jp/article/jssd/66/0/66_266/_pdf/-char/ja" TargetMode="External" Id="R5f7fdaea585a4a50" /><Relationship Type="http://schemas.openxmlformats.org/officeDocument/2006/relationships/image" Target="/media/image.png" Id="R44788201a0324a13" /><Relationship Type="http://schemas.openxmlformats.org/officeDocument/2006/relationships/image" Target="/media/image2.png" Id="R3df89fae8d7c42c8" /><Relationship Type="http://schemas.openxmlformats.org/officeDocument/2006/relationships/image" Target="/media/image3.png" Id="R306504d3739b423c" /><Relationship Type="http://schemas.openxmlformats.org/officeDocument/2006/relationships/image" Target="/media/image4.png" Id="R4231fe5218724ef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澤野 貴春</dc:creator>
  <keywords/>
  <dc:description/>
  <lastModifiedBy>澤野　貴春</lastModifiedBy>
  <revision>4</revision>
  <dcterms:created xsi:type="dcterms:W3CDTF">2021-07-14T02:40:00.0000000Z</dcterms:created>
  <dcterms:modified xsi:type="dcterms:W3CDTF">2021-07-15T03:34:47.5622843Z</dcterms:modified>
</coreProperties>
</file>