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9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bookmarkEnd w:id="67"/>
    <w:bookmarkStart w:id="68" w:name="transmute"/>
    <w:p>
      <w:pPr>
        <w:pStyle w:val="Heading3"/>
      </w:pPr>
      <w:r>
        <w:rPr>
          <w:rStyle w:val="SectionNumber"/>
        </w:rPr>
        <w:t xml:space="preserve">1.19.4</w:t>
      </w:r>
      <w:r>
        <w:tab/>
      </w:r>
      <w:r>
        <w:t xml:space="preserve">Transmute</w:t>
      </w:r>
    </w:p>
    <w:bookmarkEnd w:id="68"/>
    <w:bookmarkEnd w:id="69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10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89" w:name="same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Same Tree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8" w:name="answer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88"/>
    <w:bookmarkEnd w:id="89"/>
    <w:bookmarkStart w:id="94" w:name="maximum-depth-of-binary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Maximum Depth of Binary Tree</w:t>
      </w:r>
    </w:p>
    <w:bookmarkStart w:id="90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90"/>
    <w:bookmarkStart w:id="91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bookmarkEnd w:id="91"/>
    <w:bookmarkStart w:id="92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A function that finds the maximum depth of a binary tree.</w:t>
      </w:r>
    </w:p>
    <w:bookmarkEnd w:id="92"/>
    <w:bookmarkStart w:id="93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93"/>
    <w:bookmarkEnd w:id="94"/>
    <w:bookmarkStart w:id="99" w:name="invert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Invert Binary Tree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6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98"/>
    <w:bookmarkEnd w:id="99"/>
    <w:bookmarkStart w:id="104" w:name="invert-binary-tre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Invert Binary Tree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4.4.3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4.4.4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03"/>
    <w:bookmarkEnd w:id="104"/>
    <w:bookmarkStart w:id="105" w:name="validate-binary-search-tree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05"/>
    <w:bookmarkStart w:id="106" w:name="maximum-path-through-a-binary-tree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06"/>
    <w:bookmarkEnd w:id="107"/>
    <w:bookmarkStart w:id="118" w:name="heap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Heaps</w:t>
      </w:r>
    </w:p>
    <w:bookmarkStart w:id="112" w:name="top-k-frequent-element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Top K Frequent Elements</w:t>
      </w:r>
    </w:p>
    <w:bookmarkStart w:id="108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108"/>
    <w:bookmarkStart w:id="109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109"/>
    <w:bookmarkStart w:id="110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110"/>
    <w:bookmarkStart w:id="111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111"/>
    <w:bookmarkEnd w:id="112"/>
    <w:bookmarkStart w:id="117" w:name="find-median-from-data-stream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Find Median from Data Stream</w:t>
      </w:r>
    </w:p>
    <w:bookmarkStart w:id="113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13"/>
    <w:bookmarkStart w:id="114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14"/>
    <w:bookmarkStart w:id="115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15"/>
    <w:bookmarkStart w:id="116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16"/>
    <w:bookmarkEnd w:id="117"/>
    <w:bookmarkEnd w:id="118"/>
    <w:bookmarkStart w:id="134" w:name="graph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Graphs</w:t>
      </w:r>
    </w:p>
    <w:bookmarkStart w:id="123" w:name="number-of-island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Number of Islands</w:t>
      </w:r>
    </w:p>
    <w:bookmarkStart w:id="119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bookmarkEnd w:id="119"/>
    <w:bookmarkStart w:id="120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bookmarkEnd w:id="120"/>
    <w:bookmarkStart w:id="121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bookmarkEnd w:id="121"/>
    <w:bookmarkStart w:id="122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bookmarkEnd w:id="122"/>
    <w:bookmarkEnd w:id="123"/>
    <w:bookmarkStart w:id="128" w:name="clone-graph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Clone Graph</w:t>
      </w:r>
    </w:p>
    <w:bookmarkStart w:id="124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bookmarkEnd w:id="124"/>
    <w:bookmarkStart w:id="125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bookmarkEnd w:id="125"/>
    <w:bookmarkStart w:id="126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bookmarkEnd w:id="126"/>
    <w:bookmarkStart w:id="127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bookmarkEnd w:id="127"/>
    <w:bookmarkEnd w:id="128"/>
    <w:bookmarkStart w:id="133" w:name="pacific-atlantic-water-flow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Pacific Atlantic Water Flow</w:t>
      </w:r>
    </w:p>
    <w:bookmarkStart w:id="129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bookmarkEnd w:id="129"/>
    <w:bookmarkStart w:id="130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bookmarkEnd w:id="130"/>
    <w:bookmarkStart w:id="131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bookmarkEnd w:id="131"/>
    <w:bookmarkStart w:id="132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bookmarkEnd w:id="132"/>
    <w:bookmarkEnd w:id="133"/>
    <w:bookmarkEnd w:id="134"/>
    <w:bookmarkStart w:id="164" w:name="dynamic-programming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Dynamic Programming</w:t>
      </w:r>
    </w:p>
    <w:bookmarkStart w:id="139" w:name="climbing-stair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Climbing Stairs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38"/>
    <w:bookmarkEnd w:id="139"/>
    <w:bookmarkStart w:id="144" w:name="unique-path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Unique Paths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43"/>
    <w:bookmarkEnd w:id="144"/>
    <w:bookmarkStart w:id="149" w:name="jump-game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Jump Game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7.3.1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7.3.2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7.3.3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7.3.4</w:t>
      </w:r>
      <w:r>
        <w:tab/>
      </w:r>
      <w:r>
        <w:t xml:space="preserve">Answer</w:t>
      </w:r>
    </w:p>
    <w:bookmarkEnd w:id="148"/>
    <w:bookmarkEnd w:id="149"/>
    <w:bookmarkStart w:id="154" w:name="coin-change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Coin Change</w:t>
      </w:r>
    </w:p>
    <w:bookmarkStart w:id="150" w:name="problem"/>
    <w:p>
      <w:pPr>
        <w:pStyle w:val="Heading3"/>
      </w:pPr>
      <w:r>
        <w:rPr>
          <w:rStyle w:val="SectionNumber"/>
        </w:rPr>
        <w:t xml:space="preserve">7.4.1</w:t>
      </w:r>
      <w:r>
        <w:tab/>
      </w:r>
      <w:r>
        <w:t xml:space="preserve">Problem</w:t>
      </w:r>
    </w:p>
    <w:bookmarkEnd w:id="150"/>
    <w:bookmarkStart w:id="151" w:name="intuition"/>
    <w:p>
      <w:pPr>
        <w:pStyle w:val="Heading3"/>
      </w:pPr>
      <w:r>
        <w:rPr>
          <w:rStyle w:val="SectionNumber"/>
        </w:rPr>
        <w:t xml:space="preserve">7.4.2</w:t>
      </w:r>
      <w:r>
        <w:tab/>
      </w:r>
      <w:r>
        <w:t xml:space="preserve">Intuition</w:t>
      </w:r>
    </w:p>
    <w:bookmarkEnd w:id="151"/>
    <w:bookmarkStart w:id="152" w:name="test-cases"/>
    <w:p>
      <w:pPr>
        <w:pStyle w:val="Heading3"/>
      </w:pPr>
      <w:r>
        <w:rPr>
          <w:rStyle w:val="SectionNumber"/>
        </w:rPr>
        <w:t xml:space="preserve">7.4.3</w:t>
      </w:r>
      <w:r>
        <w:tab/>
      </w:r>
      <w:r>
        <w:t xml:space="preserve">Test Cases</w:t>
      </w:r>
    </w:p>
    <w:bookmarkEnd w:id="152"/>
    <w:bookmarkStart w:id="153" w:name="answer"/>
    <w:p>
      <w:pPr>
        <w:pStyle w:val="Heading3"/>
      </w:pPr>
      <w:r>
        <w:rPr>
          <w:rStyle w:val="SectionNumber"/>
        </w:rPr>
        <w:t xml:space="preserve">7.4.4</w:t>
      </w:r>
      <w:r>
        <w:tab/>
      </w:r>
      <w:r>
        <w:t xml:space="preserve">Answer</w:t>
      </w:r>
    </w:p>
    <w:bookmarkEnd w:id="153"/>
    <w:bookmarkEnd w:id="154"/>
    <w:bookmarkStart w:id="159" w:name="longest-increasing-subsequence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Longest Increasing Subsequence</w:t>
      </w:r>
    </w:p>
    <w:bookmarkStart w:id="155" w:name="problem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Problem</w:t>
      </w:r>
    </w:p>
    <w:bookmarkEnd w:id="155"/>
    <w:bookmarkStart w:id="156" w:name="intuition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Intuition</w:t>
      </w:r>
    </w:p>
    <w:bookmarkEnd w:id="156"/>
    <w:bookmarkStart w:id="157" w:name="test-cases"/>
    <w:p>
      <w:pPr>
        <w:pStyle w:val="Heading3"/>
      </w:pPr>
      <w:r>
        <w:rPr>
          <w:rStyle w:val="SectionNumber"/>
        </w:rPr>
        <w:t xml:space="preserve">7.5.3</w:t>
      </w:r>
      <w:r>
        <w:tab/>
      </w:r>
      <w:r>
        <w:t xml:space="preserve">Test Cases</w:t>
      </w:r>
    </w:p>
    <w:bookmarkEnd w:id="157"/>
    <w:bookmarkStart w:id="158" w:name="answer"/>
    <w:p>
      <w:pPr>
        <w:pStyle w:val="Heading3"/>
      </w:pPr>
      <w:r>
        <w:rPr>
          <w:rStyle w:val="SectionNumber"/>
        </w:rPr>
        <w:t xml:space="preserve">7.5.4</w:t>
      </w:r>
      <w:r>
        <w:tab/>
      </w:r>
      <w:r>
        <w:t xml:space="preserve">Answer</w:t>
      </w:r>
    </w:p>
    <w:bookmarkEnd w:id="158"/>
    <w:bookmarkEnd w:id="159"/>
    <w:bookmarkStart w:id="163" w:name="references"/>
    <w:p>
      <w:pPr>
        <w:pStyle w:val="Heading2"/>
      </w:pPr>
      <w:r>
        <w:t xml:space="preserve">References</w:t>
      </w:r>
    </w:p>
    <w:bookmarkStart w:id="162" w:name="refs"/>
    <w:bookmarkStart w:id="161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160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161"/>
    <w:bookmarkEnd w:id="162"/>
    <w:bookmarkEnd w:id="163"/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svg" /><Relationship Type="http://schemas.openxmlformats.org/officeDocument/2006/relationships/hyperlink" Id="rId160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0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2021-12-09T03:08:32Z</dcterms:created>
  <dcterms:modified xsi:type="dcterms:W3CDTF">2021-12-09T03:08:32Z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