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ownershi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</w:t>
      </w:r>
    </w:p>
    <w:bookmarkEnd w:id="21"/>
    <w:bookmarkStart w:id="22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2"/>
    <w:bookmarkStart w:id="23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3"/>
    <w:bookmarkStart w:id="24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4"/>
    <w:bookmarkStart w:id="25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5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26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26"/>
    <w:bookmarkStart w:id="27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27"/>
    <w:bookmarkStart w:id="28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28"/>
    <w:bookmarkStart w:id="29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29"/>
    <w:bookmarkStart w:id="30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0"/>
    <w:bookmarkStart w:id="31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1"/>
    <w:bookmarkStart w:id="32" w:name="tuples"/>
    <w:p>
      <w:pPr>
        <w:pStyle w:val="Heading3"/>
      </w:pPr>
      <w:r>
        <w:rPr>
          <w:rStyle w:val="SectionNumber"/>
        </w:rPr>
        <w:t xml:space="preserve">1.7.7</w:t>
      </w:r>
      <w:r>
        <w:tab/>
      </w:r>
      <w:r>
        <w:t xml:space="preserve">Tuples</w:t>
      </w:r>
    </w:p>
    <w:bookmarkEnd w:id="32"/>
    <w:bookmarkStart w:id="33" w:name="structs"/>
    <w:p>
      <w:pPr>
        <w:pStyle w:val="Heading3"/>
      </w:pPr>
      <w:r>
        <w:rPr>
          <w:rStyle w:val="SectionNumber"/>
        </w:rPr>
        <w:t xml:space="preserve">1.7.8</w:t>
      </w:r>
      <w:r>
        <w:tab/>
      </w:r>
      <w:r>
        <w:t xml:space="preserve">Structs</w:t>
      </w:r>
    </w:p>
    <w:bookmarkEnd w:id="33"/>
    <w:bookmarkStart w:id="34" w:name="enums"/>
    <w:p>
      <w:pPr>
        <w:pStyle w:val="Heading3"/>
      </w:pPr>
      <w:r>
        <w:rPr>
          <w:rStyle w:val="SectionNumber"/>
        </w:rPr>
        <w:t xml:space="preserve">1.7.9</w:t>
      </w:r>
      <w:r>
        <w:tab/>
      </w:r>
      <w:r>
        <w:t xml:space="preserve">Enums</w:t>
      </w:r>
    </w:p>
    <w:bookmarkEnd w:id="34"/>
    <w:bookmarkStart w:id="35" w:name="unit-type"/>
    <w:p>
      <w:pPr>
        <w:pStyle w:val="Heading3"/>
      </w:pPr>
      <w:r>
        <w:rPr>
          <w:rStyle w:val="SectionNumber"/>
        </w:rPr>
        <w:t xml:space="preserve">1.7.10</w:t>
      </w:r>
      <w:r>
        <w:tab/>
      </w:r>
      <w:r>
        <w:t xml:space="preserve">Unit Type</w:t>
      </w:r>
    </w:p>
    <w:bookmarkEnd w:id="35"/>
    <w:bookmarkEnd w:id="36"/>
    <w:bookmarkStart w:id="37" w:name="referenc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References</w:t>
      </w:r>
    </w:p>
    <w:bookmarkEnd w:id="37"/>
    <w:bookmarkStart w:id="38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38"/>
    <w:bookmarkStart w:id="41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39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39"/>
    <w:bookmarkStart w:id="40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0"/>
    <w:bookmarkEnd w:id="41"/>
    <w:bookmarkStart w:id="42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2"/>
    <w:bookmarkStart w:id="43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3"/>
    <w:bookmarkStart w:id="44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4"/>
    <w:bookmarkStart w:id="53" w:name="basic-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Basic Data Structures</w:t>
      </w:r>
    </w:p>
    <w:bookmarkStart w:id="45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5"/>
    <w:bookmarkStart w:id="46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46"/>
    <w:bookmarkStart w:id="47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47"/>
    <w:bookmarkStart w:id="48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48"/>
    <w:bookmarkStart w:id="49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49"/>
    <w:bookmarkStart w:id="50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0"/>
    <w:bookmarkStart w:id="51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1"/>
    <w:bookmarkStart w:id="52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2"/>
    <w:bookmarkEnd w:id="53"/>
    <w:bookmarkStart w:id="55" w:name="basic-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Basic Algorithms</w:t>
      </w:r>
    </w:p>
    <w:bookmarkStart w:id="54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4"/>
    <w:bookmarkEnd w:id="55"/>
    <w:bookmarkStart w:id="56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56"/>
    <w:bookmarkStart w:id="57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bookmarkEnd w:id="57"/>
    <w:bookmarkStart w:id="58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58"/>
    <w:bookmarkStart w:id="59" w:name="smart-pointer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Smart Pointers</w:t>
      </w:r>
    </w:p>
    <w:bookmarkEnd w:id="59"/>
    <w:bookmarkEnd w:id="60"/>
    <w:bookmarkStart w:id="62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61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61"/>
    <w:bookmarkEnd w:id="62"/>
    <w:bookmarkStart w:id="68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64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2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2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2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2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63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63"/>
    <w:bookmarkEnd w:id="64"/>
    <w:bookmarkStart w:id="65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65"/>
    <w:bookmarkStart w:id="66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66"/>
    <w:bookmarkStart w:id="67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67"/>
    <w:bookmarkEnd w:id="68"/>
    <w:bookmarkStart w:id="85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69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9"/>
    <w:bookmarkStart w:id="79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70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70"/>
    <w:bookmarkStart w:id="71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3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71"/>
    <w:bookmarkStart w:id="72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72"/>
    <w:bookmarkStart w:id="78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8"/>
    <w:bookmarkEnd w:id="79"/>
    <w:bookmarkStart w:id="80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0"/>
    <w:bookmarkStart w:id="84" w:name="references"/>
    <w:p>
      <w:pPr>
        <w:pStyle w:val="Heading2"/>
      </w:pPr>
      <w:r>
        <w:t xml:space="preserve">References</w:t>
      </w:r>
    </w:p>
    <w:bookmarkStart w:id="83" w:name="refs"/>
    <w:bookmarkStart w:id="8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8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82"/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svg" /><Relationship Type="http://schemas.openxmlformats.org/officeDocument/2006/relationships/hyperlink" Id="rId81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2021-11-30T01:31:27Z</dcterms:created>
  <dcterms:modified xsi:type="dcterms:W3CDTF">2021-11-30T01:31:27Z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