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40"/>
      </w:pPr>
      <w:r>
        <w:rPr>
          <w:rFonts w:ascii="Calibri" w:hAnsi="Calibri" w:eastAsia="Yu Gothic"/>
          <w:b/>
          <w:i w:val="0"/>
          <w:color w:val="2F75B5"/>
          <w:sz w:val="20"/>
        </w:rPr>
        <w:t>RELEASE READINESS BRIEF</w:t>
      </w:r>
    </w:p>
    <w:p>
      <w:pPr>
        <w:spacing w:after="80"/>
      </w:pPr>
      <w:r>
        <w:rPr>
          <w:rFonts w:ascii="Calibri" w:hAnsi="Calibri" w:eastAsia="Yu Gothic"/>
          <w:b/>
          <w:i w:val="0"/>
          <w:color w:val="10233F"/>
          <w:sz w:val="50"/>
        </w:rPr>
        <w:t>Project Atlas v2.4.0</w:t>
      </w:r>
    </w:p>
    <w:p>
      <w:pPr>
        <w:spacing w:after="300"/>
      </w:pPr>
      <w:r>
        <w:rPr>
          <w:rFonts w:ascii="Calibri" w:hAnsi="Calibri" w:eastAsia="Yu Gothic"/>
          <w:b w:val="0"/>
          <w:i w:val="0"/>
          <w:color w:val="5D6B7C"/>
          <w:sz w:val="26"/>
        </w:rPr>
        <w:t>Go / No-Go review for the production deployment window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/>
        <w:tc>
          <w:tcPr>
            <w:tcW w:type="dxa" w:w="2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5D6B7C"/>
                <w:sz w:val="19"/>
              </w:rPr>
              <w:t>Decision owner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10233F"/>
                <w:sz w:val="19"/>
              </w:rPr>
              <w:t>Platform Engineering / Release Manager</w:t>
            </w:r>
          </w:p>
        </w:tc>
      </w:tr>
      <w:tr>
        <w:trPr/>
        <w:tc>
          <w:tcPr>
            <w:tcW w:type="dxa" w:w="2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5D6B7C"/>
                <w:sz w:val="19"/>
              </w:rPr>
              <w:t>Review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10233F"/>
                <w:sz w:val="19"/>
              </w:rPr>
              <w:t>2026-08-21 15:00 JST</w:t>
            </w:r>
          </w:p>
        </w:tc>
      </w:tr>
      <w:tr>
        <w:trPr/>
        <w:tc>
          <w:tcPr>
            <w:tcW w:type="dxa" w:w="2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5D6B7C"/>
                <w:sz w:val="19"/>
              </w:rPr>
              <w:t>Change window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10233F"/>
                <w:sz w:val="19"/>
              </w:rPr>
              <w:t>2026-08-26 22:00–23:30 JST</w:t>
            </w:r>
          </w:p>
        </w:tc>
      </w:tr>
      <w:tr>
        <w:trPr/>
        <w:tc>
          <w:tcPr>
            <w:tcW w:type="dxa" w:w="2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5D6B7C"/>
                <w:sz w:val="19"/>
              </w:rPr>
              <w:t>Release candidate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10233F"/>
                <w:sz w:val="19"/>
              </w:rPr>
              <w:t>v2.4.0-rc.3 / commit 6e8a4c1</w:t>
            </w:r>
          </w:p>
        </w:tc>
      </w:tr>
      <w:tr>
        <w:trPr/>
        <w:tc>
          <w:tcPr>
            <w:tcW w:type="dxa" w:w="2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5D6B7C"/>
                <w:sz w:val="19"/>
              </w:rPr>
              <w:t>Current decision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23865F"/>
                <w:sz w:val="19"/>
              </w:rPr>
              <w:t>DOCX RELEASE DECISION: CONDITIONAL GO</w:t>
            </w:r>
          </w:p>
        </w:tc>
      </w:tr>
    </w:tbl>
    <w:p>
      <w:pPr>
        <w:pStyle w:val="Heading1"/>
      </w:pPr>
      <w:r>
        <w:t>1. Executive summary</w:t>
      </w:r>
    </w:p>
    <w:p>
      <w:r>
        <w:rPr>
          <w:rFonts w:ascii="Calibri" w:hAnsi="Calibri" w:eastAsia="Yu Gothic"/>
          <w:b/>
          <w:i w:val="0"/>
          <w:color w:val="23865F"/>
          <w:sz w:val="21"/>
        </w:rPr>
        <w:t xml:space="preserve">Recommendation. </w:t>
      </w:r>
      <w:r>
        <w:rPr>
          <w:rFonts w:ascii="Calibri" w:hAnsi="Calibri" w:eastAsia="Yu Gothic"/>
          <w:b w:val="0"/>
          <w:i w:val="0"/>
          <w:color w:val="10233F"/>
          <w:sz w:val="21"/>
        </w:rPr>
        <w:t>Proceed with the canary deployment after closing the two documentation actions below. Automated rollback remains mandatory until the 30-minute hypercare window ends.</w:t>
      </w:r>
    </w:p>
    <w:p>
      <w:pPr>
        <w:pStyle w:val="ListBullet"/>
      </w:pPr>
      <w:r>
        <w:t>CI, dependency license audit, and package-integrity suites are green.</w:t>
      </w:r>
    </w:p>
    <w:p>
      <w:pPr>
        <w:pStyle w:val="ListBullet"/>
      </w:pPr>
      <w:r>
        <w:t>Database migration was rehearsed against the staging snapshot in 7m 42s.</w:t>
      </w:r>
    </w:p>
    <w:p>
      <w:pPr>
        <w:pStyle w:val="ListBullet"/>
      </w:pPr>
      <w:r>
        <w:t>PPTX speaker-note edits remain a protected boundary and must be documented in the release notes.</w:t>
      </w:r>
    </w:p>
    <w:p>
      <w:pPr>
        <w:pStyle w:val="Heading1"/>
      </w:pPr>
      <w:r>
        <w:t>2. Release gates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1500"/>
        <w:gridCol w:w="1200"/>
        <w:gridCol w:w="4560"/>
      </w:tblGrid>
      <w:tr>
        <w:trPr>
          <w:tblHeader w:val="true"/>
        </w:trPr>
        <w:tc>
          <w:tcPr>
            <w:tcW w:type="dxa" w:w="2100"/>
            <w:vAlign w:val="center"/>
            <w:shd w:fill="10233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9"/>
              </w:rPr>
              <w:t>Gate</w:t>
            </w:r>
          </w:p>
        </w:tc>
        <w:tc>
          <w:tcPr>
            <w:tcW w:type="dxa" w:w="1500"/>
            <w:vAlign w:val="center"/>
            <w:shd w:fill="10233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9"/>
              </w:rPr>
              <w:t>Owner</w:t>
            </w:r>
          </w:p>
        </w:tc>
        <w:tc>
          <w:tcPr>
            <w:tcW w:type="dxa" w:w="1200"/>
            <w:vAlign w:val="center"/>
            <w:shd w:fill="10233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9"/>
              </w:rPr>
              <w:t>Status</w:t>
            </w:r>
          </w:p>
        </w:tc>
        <w:tc>
          <w:tcPr>
            <w:tcW w:type="dxa" w:w="4560"/>
            <w:vAlign w:val="center"/>
            <w:shd w:fill="10233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9"/>
              </w:rPr>
              <w:t>Evidence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3865F"/>
                <w:sz w:val="19"/>
              </w:rPr>
              <w:t>A · Preservation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Yu Gothic"/>
                <w:b w:val="0"/>
                <w:i w:val="0"/>
                <w:color w:val="23865F"/>
                <w:sz w:val="19"/>
              </w:rPr>
              <w:t>Format Team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3865F"/>
                <w:sz w:val="19"/>
              </w:rPr>
              <w:t>PASS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3865F"/>
                <w:sz w:val="19"/>
              </w:rPr>
              <w:t>Unknown parts and raw slices retained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3865F"/>
                <w:sz w:val="19"/>
              </w:rPr>
              <w:t>B · Integrity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Yu Gothic"/>
                <w:b w:val="0"/>
                <w:i w:val="0"/>
                <w:color w:val="23865F"/>
                <w:sz w:val="19"/>
              </w:rPr>
              <w:t>Core Team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3865F"/>
                <w:sz w:val="19"/>
              </w:rPr>
              <w:t>PASS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3865F"/>
                <w:sz w:val="19"/>
              </w:rPr>
              <w:t>Markers, graph, map, and hashes verified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3865F"/>
                <w:sz w:val="19"/>
              </w:rPr>
              <w:t>C · Security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Yu Gothic"/>
                <w:b w:val="0"/>
                <w:i w:val="0"/>
                <w:color w:val="23865F"/>
                <w:sz w:val="19"/>
              </w:rPr>
              <w:t>AppSec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3865F"/>
                <w:sz w:val="19"/>
              </w:rPr>
              <w:t>PASS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3865F"/>
                <w:sz w:val="19"/>
              </w:rPr>
              <w:t>DTD, external rels, and risky formula policies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A66B00"/>
                <w:sz w:val="19"/>
              </w:rPr>
              <w:t>E · Quality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Yu Gothic"/>
                <w:b w:val="0"/>
                <w:i w:val="0"/>
                <w:color w:val="A66B00"/>
                <w:sz w:val="19"/>
              </w:rPr>
              <w:t>QA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A66B00"/>
                <w:sz w:val="19"/>
              </w:rPr>
              <w:t>REVIEW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A66B00"/>
                <w:sz w:val="19"/>
              </w:rPr>
              <w:t>76 automated tests; 2 documentation actions</w:t>
            </w:r>
          </w:p>
        </w:tc>
      </w:tr>
    </w:tbl>
    <w:p>
      <w:r>
        <w:br w:type="page"/>
      </w:r>
    </w:p>
    <w:p>
      <w:pPr>
        <w:pStyle w:val="Heading1"/>
      </w:pPr>
      <w:r>
        <w:t>3. Control-room evidence</w:t>
      </w:r>
    </w:p>
    <w:p>
      <w:pPr>
        <w:keepNext/>
      </w:pPr>
      <w:r>
        <w:t>Figure 1 shows the release candidate status at the review cut-off. The screenshot is embedded as immutable evidence; the source workbook and package indexes remain in the RTMD workspace.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44768" cy="3456432"/>
            <wp:docPr id="1" name="Picture 1" descr="RTMD release control-room dashboard showing CI quality, Office round-trip status, gates, and open incidents" title="RTMD release control-room dashboard showing CI quality, Office round-trip status, gates, and open inciden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ease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 w:eastAsia="Yu Gothic"/>
          <w:b w:val="0"/>
          <w:i/>
          <w:color w:val="5D6B7C"/>
          <w:sz w:val="18"/>
        </w:rPr>
        <w:t>Figure 1 — Release control-room dashboard at 2026-08-21 14:32 JST</w:t>
      </w:r>
    </w:p>
    <w:p>
      <w:pPr>
        <w:pStyle w:val="Heading2"/>
      </w:pPr>
      <w:r>
        <w:t>Observed exceptions</w:t>
      </w:r>
    </w:p>
    <w:p>
      <w:pPr>
        <w:pStyle w:val="ListBullet"/>
      </w:pPr>
      <w:r>
        <w:t>P1 — Speaker Notes changes are rejected explicitly; existing notes are preserved.</w:t>
      </w:r>
    </w:p>
    <w:p>
      <w:pPr>
        <w:pStyle w:val="ListBullet"/>
      </w:pPr>
      <w:r>
        <w:t>P2 — Low-confidence OCR is surfaced as annotation-only evidence and never mutates original content.</w:t>
      </w:r>
    </w:p>
    <w:p>
      <w:r>
        <w:br w:type="page"/>
      </w:r>
    </w:p>
    <w:p>
      <w:pPr>
        <w:pStyle w:val="Heading1"/>
      </w:pPr>
      <w:r>
        <w:t>4. Deployment and rollback flow</w:t>
      </w:r>
    </w:p>
    <w:p>
      <w:pPr>
        <w:keepNext/>
      </w:pPr>
      <w:r>
        <w:t>The rollout is intentionally gated. Promotion to the next stage requires a stored evidence record and an affirmative owner decision.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44768" cy="3456432"/>
            <wp:docPr id="2" name="Picture 2" descr="Deployment flow from merge through CI, staging, canary, global rollout, and rollback" title="Deployment flow from merge through CI, staging, canary, global rollout, and rollback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-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 w:eastAsia="Yu Gothic"/>
          <w:b w:val="0"/>
          <w:i/>
          <w:color w:val="5D6B7C"/>
          <w:sz w:val="18"/>
        </w:rPr>
        <w:t>Figure 2 — Production deployment flow and automatic rollback path</w:t>
      </w:r>
    </w:p>
    <w:p>
      <w:pPr>
        <w:pStyle w:val="Heading2"/>
      </w:pPr>
      <w:r>
        <w:t>Operator sequence</w:t>
      </w:r>
    </w:p>
    <w:p>
      <w:pPr>
        <w:pStyle w:val="ListNumber"/>
      </w:pPr>
      <w:r>
        <w:t>Freeze the release branch and capture the approved commit SHA.</w:t>
      </w:r>
    </w:p>
    <w:p>
      <w:pPr>
        <w:pStyle w:val="ListNumber"/>
      </w:pPr>
      <w:r>
        <w:t>Run CI, SAST, dependency license audit, and package-integrity verification.</w:t>
      </w:r>
    </w:p>
    <w:p>
      <w:pPr>
        <w:pStyle w:val="ListNumber"/>
      </w:pPr>
      <w:r>
        <w:t>Deploy to staging; execute migration and smoke checks against the runbook.</w:t>
      </w:r>
    </w:p>
    <w:p>
      <w:pPr>
        <w:pStyle w:val="ListNumber"/>
      </w:pPr>
      <w:r>
        <w:t>Promote 10% canary traffic and observe error rate, latency, and saturation for 15 minutes.</w:t>
      </w:r>
    </w:p>
    <w:p>
      <w:pPr>
        <w:pStyle w:val="ListNumber"/>
      </w:pPr>
      <w:r>
        <w:t>Expand globally only if all SLOs remain within threshold; otherwise roll back immediately.</w:t>
      </w:r>
    </w:p>
    <w:p>
      <w:pPr>
        <w:pStyle w:val="Heading1"/>
      </w:pPr>
      <w:r>
        <w:t>5. Handoff</w:t>
      </w:r>
    </w:p>
    <w:p>
      <w:r>
        <w:rPr>
          <w:rFonts w:ascii="Calibri" w:hAnsi="Calibri" w:eastAsia="Yu Gothic"/>
          <w:b/>
          <w:i w:val="0"/>
          <w:color w:val="5D6B7C"/>
          <w:sz w:val="21"/>
        </w:rPr>
        <w:t xml:space="preserve">Preservation sentinel: </w:t>
      </w:r>
      <w:r>
        <w:rPr>
          <w:rFonts w:ascii="Calibri" w:hAnsi="Calibri" w:eastAsia="Yu Gothic"/>
          <w:b/>
          <w:i w:val="0"/>
          <w:color w:val="10233F"/>
          <w:sz w:val="21"/>
        </w:rPr>
        <w:t>DOCX-PRESERVE-OPS-2026</w:t>
      </w:r>
    </w:p>
    <w:p>
      <w:r>
        <w:t>Release Manager records the final decision in the change ticket; Platform Engineering owns deployment, rollback, and the 30-minute hypercare bridge.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23" w:bottom="1037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Yu Gothic"/>
        <w:b w:val="0"/>
        <w:i w:val="0"/>
        <w:color w:val="5D6B7C"/>
        <w:sz w:val="16"/>
      </w:rPr>
      <w:t xml:space="preserve">Internal engineering brief  •  2026-08-21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Yu Gothic"/>
        <w:b/>
        <w:i w:val="0"/>
        <w:color w:val="5D6B7C"/>
        <w:sz w:val="17"/>
      </w:rPr>
      <w:t>PROJECT ATLAS  |  RELEASE OPERATIONS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83"/>
    </w:pPr>
    <w:rPr>
      <w:rFonts w:ascii="Calibri" w:hAnsi="Calibri" w:eastAsia="Yu Gothic"/>
      <w:b w:val="0"/>
      <w:color w:val="1023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Rule="auto" w:line="240"/>
      <w:outlineLvl w:val="0"/>
    </w:pPr>
    <w:rPr>
      <w:rFonts w:asciiTheme="majorHAnsi" w:eastAsiaTheme="majorEastAsia" w:hAnsiTheme="majorHAnsi" w:cstheme="majorBidi" w:ascii="Calibri" w:hAnsi="Calibri" w:eastAsia="Yu Gothic"/>
      <w:b/>
      <w:bCs/>
      <w:color w:val="2F75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Rule="auto" w:line="240"/>
      <w:outlineLvl w:val="1"/>
    </w:pPr>
    <w:rPr>
      <w:rFonts w:asciiTheme="majorHAnsi" w:eastAsiaTheme="majorEastAsia" w:hAnsiTheme="majorHAnsi" w:cstheme="majorBidi" w:ascii="Calibri" w:hAnsi="Calibri" w:eastAsia="Yu Gothic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Rule="auto" w:line="240"/>
      <w:outlineLvl w:val="2"/>
    </w:pPr>
    <w:rPr>
      <w:rFonts w:asciiTheme="majorHAnsi" w:eastAsiaTheme="majorEastAsia" w:hAnsiTheme="majorHAnsi" w:cstheme="majorBidi" w:ascii="Calibri" w:hAnsi="Calibri" w:eastAsia="Yu Gothic"/>
      <w:b/>
      <w:bCs/>
      <w:color w:val="10233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Rule="auto" w:line="283"/>
      <w:contextualSpacing/>
    </w:pPr>
    <w:rPr>
      <w:rFonts w:ascii="Calibri" w:hAnsi="Calibri" w:eastAsia="Yu Gothic"/>
      <w:b w:val="0"/>
      <w:color w:val="10233F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Rule="auto" w:line="283"/>
      <w:contextualSpacing/>
    </w:pPr>
    <w:rPr>
      <w:rFonts w:ascii="Calibri" w:hAnsi="Calibri" w:eastAsia="Yu Gothic"/>
      <w:b w:val="0"/>
      <w:color w:val="10233F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