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153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674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26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17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69250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