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666666"/>
          <w:sz w:val="26"/>
          <w:szCs w:val="26"/>
        </w:rPr>
        <w:t xml:space="preserve">INFORME DE INVESTIGACIÓN</w:t>
      </w:r>
    </w:p>
    <w:p>
      <w:pPr>
        <w:spacing w:after="200" w:before="200"/>
        <w:jc w:val="center"/>
      </w:pPr>
      <w:r>
        <w:rPr>
          <w:b/>
          <w:bCs/>
          <w:color w:val="1F3B57"/>
          <w:sz w:val="40"/>
          <w:szCs w:val="40"/>
        </w:rPr>
        <w:t xml:space="preserve">Programa de Restauración Hidrológico-Forestal (antes “Reforestando EDOMÉX”) de PROBOSQUE</w:t>
      </w:r>
    </w:p>
    <w:p>
      <w:pPr>
        <w:spacing w:after="600"/>
        <w:jc w:val="center"/>
      </w:pPr>
      <w:r>
        <w:rPr>
          <w:i/>
          <w:iCs/>
          <w:color w:val="2E7D32"/>
          <w:sz w:val="24"/>
          <w:szCs w:val="24"/>
        </w:rPr>
        <w:t xml:space="preserve">Qué es, qué hace, cómo lo hace, quién lo hace, cuándo lo hace y a quiénes beneficia. Flujo operativo desde la convocatoria hasta el cierre.</w:t>
      </w:r>
    </w:p>
    <w:p>
      <w:pPr>
        <w:spacing w:before="800"/>
        <w:jc w:val="center"/>
      </w:pPr>
      <w:r>
        <w:rPr>
          <w:color w:val="666666"/>
          <w:sz w:val="20"/>
          <w:szCs w:val="20"/>
        </w:rPr>
        <w:t xml:space="preserve">Gobierno del Estado de México · Secretaría del Campo · Protectora de Bosques del Estado de México (PROBOSQUE)</w:t>
      </w:r>
    </w:p>
    <w:p>
      <w:pPr>
        <w:spacing w:before="100"/>
        <w:jc w:val="center"/>
      </w:pPr>
      <w:r>
        <w:rPr>
          <w:i/>
          <w:iCs/>
          <w:color w:val="666666"/>
          <w:sz w:val="18"/>
          <w:szCs w:val="18"/>
        </w:rPr>
        <w:t xml:space="preserve">Documento elaborado a partir de fuentes oficiales y periodísticas citadas al final del documento</w:t>
      </w:r>
    </w:p>
    <w:p>
      <w:r>
        <w:br w:type="page"/>
      </w:r>
    </w:p>
    <w:p>
      <w:pPr>
        <w:pStyle w:val="Heading1"/>
        <w:pBdr>
          <w:bottom w:val="single" w:color="2E7D32" w:sz="8" w:space="4"/>
        </w:pBdr>
        <w:spacing w:after="200" w:before="400"/>
      </w:pPr>
      <w:r>
        <w:rPr>
          <w:b/>
          <w:bCs/>
          <w:color w:val="1F3B57"/>
          <w:sz w:val="30"/>
          <w:szCs w:val="30"/>
        </w:rPr>
        <w:t xml:space="preserve">1. ¿Qué es el programa?</w:t>
      </w:r>
    </w:p>
    <w:p>
      <w:pPr>
        <w:spacing w:after="160" w:line="300"/>
        <w:jc w:val="both"/>
      </w:pPr>
      <w:r>
        <w:rPr>
          <w:sz w:val="22"/>
          <w:szCs w:val="22"/>
        </w:rPr>
        <w:t xml:space="preserve">El programa forma parte del conjunto de instrumentos de fomento forestal que opera la Protectora de Bosques del Estado de México (PROBOSQUE), organismo público descentralizado sectorizado a la Secretaría del Campo (SeCampo) del Gobierno del Estado de México. Durante varios ejercicios fiscales (al menos de 2019 a 2023) este instrumento se denominó "Reforestando EDOMÉX"; a partir de la Convocatoria y Reglas de Operación 2024-2025 se integró como una de las vertientes o conceptos del programa "Restauración Ecológica de Ecosistemas Forestales", y en la Convocatoria 2026 aparece ya como un programa autónomo bajo el nombre "Restauración Hidrológico-Forestal", publicado el 27 de enero de 2026 en la Gaceta del Gobierno del Estado de México.</w:t>
      </w:r>
    </w:p>
    <w:p>
      <w:pPr>
        <w:spacing w:after="160" w:line="300"/>
        <w:jc w:val="both"/>
      </w:pPr>
      <w:r>
        <w:rPr>
          <w:b w:val="false"/>
          <w:bCs w:val="false"/>
          <w:sz w:val="22"/>
          <w:szCs w:val="22"/>
        </w:rPr>
        <w:t xml:space="preserve">Se trata de un programa social de estímulos económicos, en especie (planta forestal) y de asistencia técnica gratuita, dirigido a quienes son propietarios o poseedores de terrenos forestales y preferentemente forestales, con el propósito de recuperar la cobertura vegetal y las funciones hidrológicas de cuencas degradadas del territorio mexiquense</w:t>
      </w:r>
      <w:r>
        <w:rPr>
          <w:b/>
          <w:bCs/>
          <w:color w:val="2E7D32"/>
          <w:sz w:val="22"/>
          <w:szCs w:val="22"/>
          <w:vertAlign w:val="superscript"/>
        </w:rPr>
        <w:t xml:space="preserve"> [1][2][3]</w:t>
      </w:r>
      <w:r>
        <w:rPr>
          <w:b w:val="false"/>
          <w:bCs w:val="false"/>
          <w:sz w:val="22"/>
          <w:szCs w:val="22"/>
        </w:rPr>
        <w:t xml:space="preserve">.</w:t>
      </w:r>
    </w:p>
    <w:p>
      <w:pPr>
        <w:spacing w:after="160" w:line="300"/>
        <w:jc w:val="both"/>
      </w:pPr>
      <w:r>
        <w:rPr>
          <w:sz w:val="22"/>
          <w:szCs w:val="22"/>
        </w:rPr>
        <w:t xml:space="preserve">Sus antecedentes se remontan al Programa de Reforestación y Restauración Integral de Microcuencas (PRORRIM), creado en 2010 bajo la entonces Secretaría de Desarrollo Agropecuario (SEDAGRO) del Estado de México, cuyo objetivo original —otorgar apoyos transitorios para fomentar el establecimiento de nuevas reforestaciones en microcuencas— es la base conceptual de los actuales esquemas de reforestación y restauración hidrológico-forestal de PROBOSQUE.</w:t>
      </w:r>
    </w:p>
    <w:p>
      <w:pPr>
        <w:spacing w:after="160" w:line="300"/>
        <w:jc w:val="both"/>
      </w:pPr>
      <w:r>
        <w:rPr>
          <w:b w:val="false"/>
          <w:bCs w:val="false"/>
          <w:sz w:val="22"/>
          <w:szCs w:val="22"/>
        </w:rPr>
        <w:t xml:space="preserve">El instrumento normativo vigente que rige el programa es la "Convocatoria y Reglas de Operación" del ejercicio fiscal correspondiente, publicada anualmente en el Periódico Oficial "Gaceta del Gobierno" del Estado de México</w:t>
      </w:r>
      <w:r>
        <w:rPr>
          <w:b/>
          <w:bCs/>
          <w:color w:val="2E7D32"/>
          <w:sz w:val="22"/>
          <w:szCs w:val="22"/>
          <w:vertAlign w:val="superscript"/>
        </w:rPr>
        <w:t xml:space="preserve"> [1]</w:t>
      </w:r>
      <w:r>
        <w:rPr>
          <w:b w:val="false"/>
          <w:bCs w:val="false"/>
          <w:sz w:val="22"/>
          <w:szCs w:val="22"/>
        </w:rPr>
        <w:t xml:space="preserve">, y validada jurídicamente por la Unidad Jurídica, de Igualdad de Género y Erradicación de la Violencia de PROBOSQUE y por el Comité Técnico del Fideicomiso para el Pago de Servicios Ambientales Hidrológicos del Estado de México (FIPASAHEM).</w:t>
      </w:r>
    </w:p>
    <w:p>
      <w:pPr>
        <w:pStyle w:val="Heading1"/>
        <w:pBdr>
          <w:bottom w:val="single" w:color="2E7D32" w:sz="8" w:space="4"/>
        </w:pBdr>
        <w:spacing w:after="200" w:before="400"/>
      </w:pPr>
      <w:r>
        <w:rPr>
          <w:b/>
          <w:bCs/>
          <w:color w:val="1F3B57"/>
          <w:sz w:val="30"/>
          <w:szCs w:val="30"/>
        </w:rPr>
        <w:t xml:space="preserve">2. ¿Qué hace el programa? (Objetivos y componentes)</w:t>
      </w:r>
    </w:p>
    <w:p>
      <w:pPr>
        <w:pStyle w:val="Heading2"/>
        <w:spacing w:after="150" w:before="300"/>
      </w:pPr>
      <w:r>
        <w:rPr>
          <w:b/>
          <w:bCs/>
          <w:color w:val="2E7D32"/>
          <w:sz w:val="26"/>
          <w:szCs w:val="26"/>
        </w:rPr>
        <w:t xml:space="preserve">2.1 Objetivo general</w:t>
      </w:r>
    </w:p>
    <w:p>
      <w:pPr>
        <w:spacing w:after="160" w:line="300"/>
        <w:jc w:val="both"/>
      </w:pPr>
      <w:r>
        <w:rPr>
          <w:b w:val="false"/>
          <w:bCs w:val="false"/>
          <w:sz w:val="22"/>
          <w:szCs w:val="22"/>
        </w:rPr>
        <w:t xml:space="preserve">Realizar trabajos de restauración y conservación de suelos para controlar la erosión, disminuir los escurrimientos superficiales, favorecer la recarga de acuíferos y recuperar la cobertura forestal, mediante acciones de reforestación y obras de captación de agua en áreas con alto grado de degradación, otorgando a las personas beneficiarias estímulos económicos, planta forestal y asistencia técnica gratuita</w:t>
      </w:r>
      <w:r>
        <w:rPr>
          <w:b/>
          <w:bCs/>
          <w:color w:val="2E7D32"/>
          <w:sz w:val="22"/>
          <w:szCs w:val="22"/>
          <w:vertAlign w:val="superscript"/>
        </w:rPr>
        <w:t xml:space="preserve"> [4][5]</w:t>
      </w:r>
      <w:r>
        <w:rPr>
          <w:b w:val="false"/>
          <w:bCs w:val="false"/>
          <w:sz w:val="22"/>
          <w:szCs w:val="22"/>
        </w:rPr>
        <w:t xml:space="preserve">.</w:t>
      </w:r>
    </w:p>
    <w:p>
      <w:pPr>
        <w:pStyle w:val="Heading2"/>
        <w:spacing w:after="150" w:before="300"/>
      </w:pPr>
      <w:r>
        <w:rPr>
          <w:b/>
          <w:bCs/>
          <w:color w:val="2E7D32"/>
          <w:sz w:val="26"/>
          <w:szCs w:val="26"/>
        </w:rPr>
        <w:t xml:space="preserve">2.2 Vertientes / conceptos de apoyo</w:t>
      </w:r>
    </w:p>
    <w:p>
      <w:pPr>
        <w:spacing w:after="160" w:line="300"/>
        <w:jc w:val="both"/>
      </w:pPr>
      <w:r>
        <w:rPr>
          <w:sz w:val="22"/>
          <w:szCs w:val="22"/>
        </w:rPr>
        <w:t xml:space="preserve">De acuerdo con las Reglas de Operación revisadas (2021-2026), el programa integra las siguientes vertientes, algunas de las cuales han cambiado de nombre entre ejercicios fiscales sin alterar su naturaleza: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800"/>
      </w:tblGrid>
      <w:tr>
        <w:trPr>
          <w:tblHeader/>
        </w:trPr>
        <w:tc>
          <w:tcPr>
            <w:tcW w:type="dxa" w:w="2600"/>
            <w:shd w:fill="1F3B57" w:val="clear"/>
            <w:tcMar>
              <w:top w:type="dxa" w:w="100"/>
              <w:left w:type="dxa" w:w="120"/>
              <w:bottom w:type="dxa" w:w="100"/>
              <w:right w:type="dxa" w:w="120"/>
            </w:tcMar>
            <w:vAlign w:val="center"/>
          </w:tcPr>
          <w:p>
            <w:pPr>
              <w:jc w:val="center"/>
            </w:pPr>
            <w:r>
              <w:rPr>
                <w:b/>
                <w:bCs/>
                <w:color w:val="FFFFFF"/>
                <w:sz w:val="20"/>
                <w:szCs w:val="20"/>
              </w:rPr>
              <w:t xml:space="preserve">Vertiente / concepto</w:t>
            </w:r>
          </w:p>
        </w:tc>
        <w:tc>
          <w:tcPr>
            <w:tcW w:type="dxa" w:w="4600"/>
            <w:shd w:fill="1F3B57" w:val="clear"/>
            <w:tcMar>
              <w:top w:type="dxa" w:w="100"/>
              <w:left w:type="dxa" w:w="120"/>
              <w:bottom w:type="dxa" w:w="100"/>
              <w:right w:type="dxa" w:w="120"/>
            </w:tcMar>
            <w:vAlign w:val="center"/>
          </w:tcPr>
          <w:p>
            <w:pPr>
              <w:jc w:val="center"/>
            </w:pPr>
            <w:r>
              <w:rPr>
                <w:b/>
                <w:bCs/>
                <w:color w:val="FFFFFF"/>
                <w:sz w:val="20"/>
                <w:szCs w:val="20"/>
              </w:rPr>
              <w:t xml:space="preserve">En qué consiste</w:t>
            </w:r>
          </w:p>
        </w:tc>
        <w:tc>
          <w:tcPr>
            <w:tcW w:type="dxa" w:w="2800"/>
            <w:shd w:fill="1F3B57" w:val="clear"/>
            <w:tcMar>
              <w:top w:type="dxa" w:w="100"/>
              <w:left w:type="dxa" w:w="120"/>
              <w:bottom w:type="dxa" w:w="100"/>
              <w:right w:type="dxa" w:w="120"/>
            </w:tcMar>
            <w:vAlign w:val="center"/>
          </w:tcPr>
          <w:p>
            <w:pPr>
              <w:jc w:val="center"/>
            </w:pPr>
            <w:r>
              <w:rPr>
                <w:b/>
                <w:bCs/>
                <w:color w:val="FFFFFF"/>
                <w:sz w:val="20"/>
                <w:szCs w:val="20"/>
              </w:rPr>
              <w:t xml:space="preserve">Monto de apoyo de referencia</w:t>
            </w:r>
          </w:p>
        </w:tc>
      </w:tr>
      <w:tr>
        <w:tc>
          <w:tcPr>
            <w:tcW w:type="dxa" w:w="2600"/>
            <w:shd w:fill="F2F2F2" w:val="clear"/>
            <w:tcMar>
              <w:top w:type="dxa" w:w="100"/>
              <w:left w:type="dxa" w:w="120"/>
              <w:bottom w:type="dxa" w:w="100"/>
              <w:right w:type="dxa" w:w="120"/>
            </w:tcMar>
            <w:vAlign w:val="center"/>
          </w:tcPr>
          <w:p>
            <w:pPr>
              <w:jc w:val="left"/>
            </w:pPr>
            <w:r>
              <w:rPr>
                <w:b w:val="false"/>
                <w:bCs w:val="false"/>
                <w:sz w:val="20"/>
                <w:szCs w:val="20"/>
              </w:rPr>
              <w:t xml:space="preserve">Reforestación</w:t>
            </w:r>
          </w:p>
        </w:tc>
        <w:tc>
          <w:tcPr>
            <w:tcW w:type="dxa" w:w="4600"/>
            <w:shd w:fill="F2F2F2" w:val="clear"/>
            <w:tcMar>
              <w:top w:type="dxa" w:w="100"/>
              <w:left w:type="dxa" w:w="120"/>
              <w:bottom w:type="dxa" w:w="100"/>
              <w:right w:type="dxa" w:w="120"/>
            </w:tcMar>
            <w:vAlign w:val="center"/>
          </w:tcPr>
          <w:p>
            <w:pPr>
              <w:jc w:val="left"/>
            </w:pPr>
            <w:r>
              <w:rPr>
                <w:b w:val="false"/>
                <w:bCs w:val="false"/>
                <w:sz w:val="20"/>
                <w:szCs w:val="20"/>
              </w:rPr>
              <w:t xml:space="preserve">Establecimiento de nuevas plantaciones forestales en predios degradados, con planta y asistencia técnica gratuitas.</w:t>
            </w:r>
          </w:p>
        </w:tc>
        <w:tc>
          <w:tcPr>
            <w:tcW w:type="dxa" w:w="2800"/>
            <w:shd w:fill="F2F2F2" w:val="clear"/>
            <w:tcMar>
              <w:top w:type="dxa" w:w="100"/>
              <w:left w:type="dxa" w:w="120"/>
              <w:bottom w:type="dxa" w:w="100"/>
              <w:right w:type="dxa" w:w="120"/>
            </w:tcMar>
            <w:vAlign w:val="center"/>
          </w:tcPr>
          <w:p>
            <w:pPr>
              <w:jc w:val="left"/>
            </w:pPr>
            <w:r>
              <w:rPr>
                <w:b w:val="false"/>
                <w:bCs w:val="false"/>
                <w:sz w:val="20"/>
                <w:szCs w:val="20"/>
              </w:rPr>
              <w:t xml:space="preserve">$2,500 por hectárea plantada (dos ministraciones 70%-30%; pago 100% si la superficie es menor a 3 ha)</w:t>
            </w:r>
          </w:p>
        </w:tc>
      </w:tr>
      <w:tr>
        <w:tc>
          <w:tcPr>
            <w:tcW w:type="dxa" w:w="2600"/>
            <w:shd w:fill="FFFFFF" w:val="clear"/>
            <w:tcMar>
              <w:top w:type="dxa" w:w="100"/>
              <w:left w:type="dxa" w:w="120"/>
              <w:bottom w:type="dxa" w:w="100"/>
              <w:right w:type="dxa" w:w="120"/>
            </w:tcMar>
            <w:vAlign w:val="center"/>
          </w:tcPr>
          <w:p>
            <w:pPr>
              <w:jc w:val="left"/>
            </w:pPr>
            <w:r>
              <w:rPr>
                <w:b w:val="false"/>
                <w:bCs w:val="false"/>
                <w:sz w:val="20"/>
                <w:szCs w:val="20"/>
              </w:rPr>
              <w:t xml:space="preserve">Mantenimiento / Preservación de reforestaciones establecidas</w:t>
            </w:r>
          </w:p>
        </w:tc>
        <w:tc>
          <w:tcPr>
            <w:tcW w:type="dxa" w:w="4600"/>
            <w:shd w:fill="FFFFFF" w:val="clear"/>
            <w:tcMar>
              <w:top w:type="dxa" w:w="100"/>
              <w:left w:type="dxa" w:w="120"/>
              <w:bottom w:type="dxa" w:w="100"/>
              <w:right w:type="dxa" w:w="120"/>
            </w:tcMar>
            <w:vAlign w:val="center"/>
          </w:tcPr>
          <w:p>
            <w:pPr>
              <w:jc w:val="left"/>
            </w:pPr>
            <w:r>
              <w:rPr>
                <w:b w:val="false"/>
                <w:bCs w:val="false"/>
                <w:sz w:val="20"/>
                <w:szCs w:val="20"/>
              </w:rPr>
              <w:t xml:space="preserve">Cuidado de reforestaciones realizadas en los tres años anteriores: replante obligatorio más actividades como cajeteo, deshierbe, brechas cortafuego, fertilización, cercado, podas, riegos de auxilio y vigilancia.</w:t>
            </w:r>
          </w:p>
        </w:tc>
        <w:tc>
          <w:tcPr>
            <w:tcW w:type="dxa" w:w="2800"/>
            <w:shd w:fill="FFFFFF" w:val="clear"/>
            <w:tcMar>
              <w:top w:type="dxa" w:w="100"/>
              <w:left w:type="dxa" w:w="120"/>
              <w:bottom w:type="dxa" w:w="100"/>
              <w:right w:type="dxa" w:w="120"/>
            </w:tcMar>
            <w:vAlign w:val="center"/>
          </w:tcPr>
          <w:p>
            <w:pPr>
              <w:jc w:val="left"/>
            </w:pPr>
            <w:r>
              <w:rPr>
                <w:b w:val="false"/>
                <w:bCs w:val="false"/>
                <w:sz w:val="20"/>
                <w:szCs w:val="20"/>
              </w:rPr>
              <w:t xml:space="preserve">Estímulo según el porcentaje de sobrevivencia anual por hectárea (70%-30%)</w:t>
            </w:r>
          </w:p>
        </w:tc>
      </w:tr>
      <w:tr>
        <w:tc>
          <w:tcPr>
            <w:tcW w:type="dxa" w:w="2600"/>
            <w:shd w:fill="F2F2F2" w:val="clear"/>
            <w:tcMar>
              <w:top w:type="dxa" w:w="100"/>
              <w:left w:type="dxa" w:w="120"/>
              <w:bottom w:type="dxa" w:w="100"/>
              <w:right w:type="dxa" w:w="120"/>
            </w:tcMar>
            <w:vAlign w:val="center"/>
          </w:tcPr>
          <w:p>
            <w:pPr>
              <w:jc w:val="left"/>
            </w:pPr>
            <w:r>
              <w:rPr>
                <w:b w:val="false"/>
                <w:bCs w:val="false"/>
                <w:sz w:val="20"/>
                <w:szCs w:val="20"/>
              </w:rPr>
              <w:t xml:space="preserve">Construcción y/o mantenimiento de presas de gavión</w:t>
            </w:r>
          </w:p>
        </w:tc>
        <w:tc>
          <w:tcPr>
            <w:tcW w:type="dxa" w:w="4600"/>
            <w:shd w:fill="F2F2F2" w:val="clear"/>
            <w:tcMar>
              <w:top w:type="dxa" w:w="100"/>
              <w:left w:type="dxa" w:w="120"/>
              <w:bottom w:type="dxa" w:w="100"/>
              <w:right w:type="dxa" w:w="120"/>
            </w:tcMar>
            <w:vAlign w:val="center"/>
          </w:tcPr>
          <w:p>
            <w:pPr>
              <w:jc w:val="left"/>
            </w:pPr>
            <w:r>
              <w:rPr>
                <w:b w:val="false"/>
                <w:bCs w:val="false"/>
                <w:sz w:val="20"/>
                <w:szCs w:val="20"/>
              </w:rPr>
              <w:t xml:space="preserve">Obras de retención de suelo y agua en zonas de alto deterioro; la construyen los beneficiarios con asesoría técnica de PROBOSQUE.</w:t>
            </w:r>
          </w:p>
        </w:tc>
        <w:tc>
          <w:tcPr>
            <w:tcW w:type="dxa" w:w="2800"/>
            <w:shd w:fill="F2F2F2" w:val="clear"/>
            <w:tcMar>
              <w:top w:type="dxa" w:w="100"/>
              <w:left w:type="dxa" w:w="120"/>
              <w:bottom w:type="dxa" w:w="100"/>
              <w:right w:type="dxa" w:w="120"/>
            </w:tcMar>
            <w:vAlign w:val="center"/>
          </w:tcPr>
          <w:p>
            <w:pPr>
              <w:jc w:val="left"/>
            </w:pPr>
            <w:r>
              <w:rPr>
                <w:b w:val="false"/>
                <w:bCs w:val="false"/>
                <w:sz w:val="20"/>
                <w:szCs w:val="20"/>
              </w:rPr>
              <w:t xml:space="preserve">Estímulo económico y asistencia técnica; limitado a municipios prioritarios de la Cuenca Alta del río Lerma</w:t>
            </w:r>
          </w:p>
        </w:tc>
      </w:tr>
      <w:tr>
        <w:tc>
          <w:tcPr>
            <w:tcW w:type="dxa" w:w="2600"/>
            <w:shd w:fill="FFFFFF" w:val="clear"/>
            <w:tcMar>
              <w:top w:type="dxa" w:w="100"/>
              <w:left w:type="dxa" w:w="120"/>
              <w:bottom w:type="dxa" w:w="100"/>
              <w:right w:type="dxa" w:w="120"/>
            </w:tcMar>
            <w:vAlign w:val="center"/>
          </w:tcPr>
          <w:p>
            <w:pPr>
              <w:jc w:val="left"/>
            </w:pPr>
            <w:r>
              <w:rPr>
                <w:b w:val="false"/>
                <w:bCs w:val="false"/>
                <w:sz w:val="20"/>
                <w:szCs w:val="20"/>
              </w:rPr>
              <w:t xml:space="preserve">Bosques de Agua</w:t>
            </w:r>
          </w:p>
        </w:tc>
        <w:tc>
          <w:tcPr>
            <w:tcW w:type="dxa" w:w="4600"/>
            <w:shd w:fill="FFFFFF" w:val="clear"/>
            <w:tcMar>
              <w:top w:type="dxa" w:w="100"/>
              <w:left w:type="dxa" w:w="120"/>
              <w:bottom w:type="dxa" w:w="100"/>
              <w:right w:type="dxa" w:w="120"/>
            </w:tcMar>
            <w:vAlign w:val="center"/>
          </w:tcPr>
          <w:p>
            <w:pPr>
              <w:jc w:val="left"/>
            </w:pPr>
            <w:r>
              <w:rPr>
                <w:b w:val="false"/>
                <w:bCs w:val="false"/>
                <w:sz w:val="20"/>
                <w:szCs w:val="20"/>
              </w:rPr>
              <w:t xml:space="preserve">Reforestación orientada específicamente a la recarga hídrica y la captación de agua de lluvia, con planta preferentemente nativa.</w:t>
            </w:r>
          </w:p>
        </w:tc>
        <w:tc>
          <w:tcPr>
            <w:tcW w:type="dxa" w:w="2800"/>
            <w:shd w:fill="FFFFFF" w:val="clear"/>
            <w:tcMar>
              <w:top w:type="dxa" w:w="100"/>
              <w:left w:type="dxa" w:w="120"/>
              <w:bottom w:type="dxa" w:w="100"/>
              <w:right w:type="dxa" w:w="120"/>
            </w:tcMar>
            <w:vAlign w:val="center"/>
          </w:tcPr>
          <w:p>
            <w:pPr>
              <w:jc w:val="left"/>
            </w:pPr>
            <w:r>
              <w:rPr>
                <w:b w:val="false"/>
                <w:bCs w:val="false"/>
                <w:sz w:val="20"/>
                <w:szCs w:val="20"/>
              </w:rPr>
              <w:t xml:space="preserve">$3,000 por hectárea al año (70%-30%)</w:t>
            </w:r>
          </w:p>
        </w:tc>
      </w:tr>
      <w:tr>
        <w:tc>
          <w:tcPr>
            <w:tcW w:type="dxa" w:w="2600"/>
            <w:shd w:fill="F2F2F2" w:val="clear"/>
            <w:tcMar>
              <w:top w:type="dxa" w:w="100"/>
              <w:left w:type="dxa" w:w="120"/>
              <w:bottom w:type="dxa" w:w="100"/>
              <w:right w:type="dxa" w:w="120"/>
            </w:tcMar>
            <w:vAlign w:val="center"/>
          </w:tcPr>
          <w:p>
            <w:pPr>
              <w:jc w:val="left"/>
            </w:pPr>
            <w:r>
              <w:rPr>
                <w:b w:val="false"/>
                <w:bCs w:val="false"/>
                <w:sz w:val="20"/>
                <w:szCs w:val="20"/>
              </w:rPr>
              <w:t xml:space="preserve">Restauración Forestal Integral</w:t>
            </w:r>
          </w:p>
        </w:tc>
        <w:tc>
          <w:tcPr>
            <w:tcW w:type="dxa" w:w="4600"/>
            <w:shd w:fill="F2F2F2" w:val="clear"/>
            <w:tcMar>
              <w:top w:type="dxa" w:w="100"/>
              <w:left w:type="dxa" w:w="120"/>
              <w:bottom w:type="dxa" w:w="100"/>
              <w:right w:type="dxa" w:w="120"/>
            </w:tcMar>
            <w:vAlign w:val="center"/>
          </w:tcPr>
          <w:p>
            <w:pPr>
              <w:jc w:val="left"/>
            </w:pPr>
            <w:r>
              <w:rPr>
                <w:b w:val="false"/>
                <w:bCs w:val="false"/>
                <w:sz w:val="20"/>
                <w:szCs w:val="20"/>
              </w:rPr>
              <w:t xml:space="preserve">Combina obras de conservación de suelos, captación de agua, reforestación y protección/preservación de áreas restauradas durante tres años; requiere Proyecto Técnico de Restauración Forestal Integral (PTRFI).</w:t>
            </w:r>
          </w:p>
        </w:tc>
        <w:tc>
          <w:tcPr>
            <w:tcW w:type="dxa" w:w="2800"/>
            <w:shd w:fill="F2F2F2" w:val="clear"/>
            <w:tcMar>
              <w:top w:type="dxa" w:w="100"/>
              <w:left w:type="dxa" w:w="120"/>
              <w:bottom w:type="dxa" w:w="100"/>
              <w:right w:type="dxa" w:w="120"/>
            </w:tcMar>
            <w:vAlign w:val="center"/>
          </w:tcPr>
          <w:p>
            <w:pPr>
              <w:jc w:val="left"/>
            </w:pPr>
            <w:r>
              <w:rPr>
                <w:b w:val="false"/>
                <w:bCs w:val="false"/>
                <w:sz w:val="20"/>
                <w:szCs w:val="20"/>
              </w:rPr>
              <w:t xml:space="preserve">Hasta $30,000 por hectárea, según la modalidad</w:t>
            </w:r>
          </w:p>
        </w:tc>
      </w:tr>
      <w:tr>
        <w:tc>
          <w:tcPr>
            <w:tcW w:type="dxa" w:w="2600"/>
            <w:shd w:fill="FFFFFF" w:val="clear"/>
            <w:tcMar>
              <w:top w:type="dxa" w:w="100"/>
              <w:left w:type="dxa" w:w="120"/>
              <w:bottom w:type="dxa" w:w="100"/>
              <w:right w:type="dxa" w:w="120"/>
            </w:tcMar>
            <w:vAlign w:val="center"/>
          </w:tcPr>
          <w:p>
            <w:pPr>
              <w:jc w:val="left"/>
            </w:pPr>
            <w:r>
              <w:rPr>
                <w:b w:val="false"/>
                <w:bCs w:val="false"/>
                <w:sz w:val="20"/>
                <w:szCs w:val="20"/>
              </w:rPr>
              <w:t xml:space="preserve">Prácticas de captación de agua y conservación de suelos</w:t>
            </w:r>
          </w:p>
        </w:tc>
        <w:tc>
          <w:tcPr>
            <w:tcW w:type="dxa" w:w="4600"/>
            <w:shd w:fill="FFFFFF" w:val="clear"/>
            <w:tcMar>
              <w:top w:type="dxa" w:w="100"/>
              <w:left w:type="dxa" w:w="120"/>
              <w:bottom w:type="dxa" w:w="100"/>
              <w:right w:type="dxa" w:w="120"/>
            </w:tcMar>
            <w:vAlign w:val="center"/>
          </w:tcPr>
          <w:p>
            <w:pPr>
              <w:jc w:val="left"/>
            </w:pPr>
            <w:r>
              <w:rPr>
                <w:b w:val="false"/>
                <w:bCs w:val="false"/>
                <w:sz w:val="20"/>
                <w:szCs w:val="20"/>
              </w:rPr>
              <w:t xml:space="preserve">Obras específicas de conservación: apertura de cepas, trazo de curvas a nivel, terrazas, bordos, acolchado y acomodo de material vegetal.</w:t>
            </w:r>
          </w:p>
        </w:tc>
        <w:tc>
          <w:tcPr>
            <w:tcW w:type="dxa" w:w="2800"/>
            <w:shd w:fill="FFFFFF" w:val="clear"/>
            <w:tcMar>
              <w:top w:type="dxa" w:w="100"/>
              <w:left w:type="dxa" w:w="120"/>
              <w:bottom w:type="dxa" w:w="100"/>
              <w:right w:type="dxa" w:w="120"/>
            </w:tcMar>
            <w:vAlign w:val="center"/>
          </w:tcPr>
          <w:p>
            <w:pPr>
              <w:jc w:val="left"/>
            </w:pPr>
            <w:r>
              <w:rPr>
                <w:b w:val="false"/>
                <w:bCs w:val="false"/>
                <w:sz w:val="20"/>
                <w:szCs w:val="20"/>
              </w:rPr>
              <w:t xml:space="preserve">Variable, definido en las Reglas de Operación del ejercicio</w:t>
            </w:r>
          </w:p>
        </w:tc>
      </w:tr>
    </w:tbl>
    <w:p>
      <w:pPr>
        <w:spacing w:after="200"/>
        <w:jc w:val="both"/>
      </w:pPr>
      <w:r>
        <w:rPr>
          <w:i/>
          <w:iCs/>
          <w:color w:val="666666"/>
          <w:sz w:val="20"/>
          <w:szCs w:val="20"/>
        </w:rPr>
        <w:t xml:space="preserve">Fuentes: Reforestando EDOMÉX (probosque.edomex.gob.mx); Reglas de Operación del Programa Restauración Ecológica de Ecosistemas Forestales 2025; nota ejecentral.com.mx (14 feb. 2026) [1][4][6][7].</w:t>
      </w:r>
    </w:p>
    <w:p>
      <w:pPr>
        <w:pStyle w:val="Heading2"/>
        <w:spacing w:after="150" w:before="300"/>
      </w:pPr>
      <w:r>
        <w:rPr>
          <w:b/>
          <w:bCs/>
          <w:color w:val="2E7D32"/>
          <w:sz w:val="26"/>
          <w:szCs w:val="26"/>
        </w:rPr>
        <w:t xml:space="preserve">2.3 Actividades técnicas de restauración hidrológico-forestal</w:t>
      </w:r>
    </w:p>
    <w:p>
      <w:pPr>
        <w:spacing w:after="160" w:line="300"/>
        <w:jc w:val="both"/>
      </w:pPr>
      <w:r>
        <w:rPr>
          <w:sz w:val="22"/>
          <w:szCs w:val="22"/>
        </w:rPr>
        <w:t xml:space="preserve">PROBOSQUE ha subrayado que la restauración hidrológico-forestal "va más allá de plantar árboles": incorpora un componente técnico (análisis de pendiente, profundidad de suelo, disponibilidad de humedad y selección de especies) y un componente social (capacitación comunitaria para aprovechar el agua de lluvia y reducir el arrastre de sedimentos).</w:t>
      </w:r>
    </w:p>
    <w:p>
      <w:pPr>
        <w:spacing w:after="160" w:line="300"/>
        <w:jc w:val="both"/>
      </w:pPr>
      <w:r>
        <w:rPr>
          <w:b w:val="false"/>
          <w:bCs w:val="false"/>
          <w:sz w:val="22"/>
          <w:szCs w:val="22"/>
        </w:rPr>
        <w:t xml:space="preserve">Entre las actividades técnicas se encuentran: apertura de cepas, trazo de curvas a nivel, construcción de terrazas y bordos, obras de retención de suelo y agua, acomodo de material vegetal muerto, acolchado de plantas y el llamado "Sistema PROBOSQUE", una técnica diseñada para incrementar la infiltración de agua de lluvia y disminuir los procesos erosivos</w:t>
      </w:r>
      <w:r>
        <w:rPr>
          <w:b/>
          <w:bCs/>
          <w:color w:val="2E7D32"/>
          <w:sz w:val="22"/>
          <w:szCs w:val="22"/>
          <w:vertAlign w:val="superscript"/>
        </w:rPr>
        <w:t xml:space="preserve"> [8][9][10]</w:t>
      </w:r>
      <w:r>
        <w:rPr>
          <w:b w:val="false"/>
          <w:bCs w:val="false"/>
          <w:sz w:val="22"/>
          <w:szCs w:val="22"/>
        </w:rPr>
        <w:t xml:space="preserve">.</w:t>
      </w:r>
    </w:p>
    <w:p>
      <w:pPr>
        <w:pStyle w:val="Heading1"/>
        <w:pBdr>
          <w:bottom w:val="single" w:color="2E7D32" w:sz="8" w:space="4"/>
        </w:pBdr>
        <w:spacing w:after="200" w:before="400"/>
      </w:pPr>
      <w:r>
        <w:rPr>
          <w:b/>
          <w:bCs/>
          <w:color w:val="1F3B57"/>
          <w:sz w:val="30"/>
          <w:szCs w:val="30"/>
        </w:rPr>
        <w:t xml:space="preserve">3. ¿Cómo lo hace? (Mecanismo de operación)</w:t>
      </w:r>
    </w:p>
    <w:p>
      <w:pPr>
        <w:spacing w:after="160" w:line="300"/>
        <w:jc w:val="both"/>
      </w:pPr>
      <w:r>
        <w:rPr>
          <w:sz w:val="22"/>
          <w:szCs w:val="22"/>
        </w:rPr>
        <w:t xml:space="preserve">El programa opera mediante un esquema de estímulos económicos condicionados al cumplimiento de metas, complementado con apoyos en especie y acompañamiento técnico:</w:t>
      </w:r>
    </w:p>
    <w:p>
      <w:pPr>
        <w:pStyle w:val="ListParagraph"/>
        <w:numPr>
          <w:ilvl w:val="0"/>
          <w:numId w:val="2"/>
        </w:numPr>
        <w:spacing w:after="100"/>
        <w:jc w:val="both"/>
      </w:pPr>
      <w:r>
        <w:rPr>
          <w:sz w:val="22"/>
          <w:szCs w:val="22"/>
        </w:rPr>
        <w:t xml:space="preserve">Estímulo económico en dos ministraciones: 70% posterior a la asignación del Comité de Admisión y Seguimiento y a la firma del Contrato de Adhesión, y 30% a la conclusión de las actividades comprometidas (o la parte proporcional de lo efectivamente realizado).</w:t>
      </w:r>
    </w:p>
    <w:p>
      <w:pPr>
        <w:pStyle w:val="ListParagraph"/>
        <w:numPr>
          <w:ilvl w:val="0"/>
          <w:numId w:val="2"/>
        </w:numPr>
        <w:spacing w:after="100"/>
        <w:jc w:val="both"/>
      </w:pPr>
      <w:r>
        <w:rPr>
          <w:sz w:val="22"/>
          <w:szCs w:val="22"/>
        </w:rPr>
        <w:t xml:space="preserve">Entrega gratuita de planta forestal, producida en los 17 viveros forestales de PROBOSQUE distribuidos en las nueve Delegaciones Regionales Forestales.</w:t>
      </w:r>
    </w:p>
    <w:p>
      <w:pPr>
        <w:pStyle w:val="ListParagraph"/>
        <w:numPr>
          <w:ilvl w:val="0"/>
          <w:numId w:val="2"/>
        </w:numPr>
        <w:spacing w:after="100"/>
        <w:jc w:val="both"/>
      </w:pPr>
      <w:r>
        <w:rPr>
          <w:sz w:val="22"/>
          <w:szCs w:val="22"/>
        </w:rPr>
        <w:t xml:space="preserve">Asistencia técnica gratuita del personal de PROBOSQUE (verificación de sobrevivencia, orientación en trazo de curvas a nivel, selección de especies, etc.).</w:t>
      </w:r>
    </w:p>
    <w:p>
      <w:pPr>
        <w:pStyle w:val="ListParagraph"/>
        <w:numPr>
          <w:ilvl w:val="0"/>
          <w:numId w:val="2"/>
        </w:numPr>
        <w:spacing w:after="100"/>
        <w:jc w:val="both"/>
      </w:pPr>
      <w:r>
        <w:rPr>
          <w:sz w:val="22"/>
          <w:szCs w:val="22"/>
        </w:rPr>
        <w:t xml:space="preserve">En la vertiente de presas de gavión, la obra la construye y/o mantiene directamente la persona beneficiaria, con asesoría y seguimiento técnico de PROBOSQUE.</w:t>
      </w:r>
    </w:p>
    <w:p>
      <w:pPr>
        <w:pStyle w:val="ListParagraph"/>
        <w:numPr>
          <w:ilvl w:val="0"/>
          <w:numId w:val="2"/>
        </w:numPr>
        <w:spacing w:after="100"/>
        <w:jc w:val="both"/>
      </w:pPr>
      <w:r>
        <w:rPr>
          <w:sz w:val="22"/>
          <w:szCs w:val="22"/>
        </w:rPr>
        <w:t xml:space="preserve">Para conceptos de mayor complejidad técnica (p. ej. Restauración Forestal Integral), se exige un Proyecto Técnico de Restauración Forestal Integral (PTRFI), que puede ser elaborado por un Prestador de Servicios Técnicos Forestales (PSTF) con Registro Forestal Nacional (RFN).</w:t>
      </w:r>
    </w:p>
    <w:p>
      <w:pPr>
        <w:spacing w:after="160" w:line="300"/>
        <w:jc w:val="both"/>
      </w:pPr>
      <w:r>
        <w:rPr>
          <w:b w:val="false"/>
          <w:bCs w:val="false"/>
          <w:sz w:val="22"/>
          <w:szCs w:val="22"/>
        </w:rPr>
        <w:t xml:space="preserve">Todo el proceso se documenta mediante una Solicitud Única (formato FO-PB-501) y un Registro de Información de la Persona Solicitante y/o Beneficiaria (formato FO-PB-502), disponibles en las Delegaciones Regionales Forestales y en el sitio web de PROBOSQUE</w:t>
      </w:r>
      <w:r>
        <w:rPr>
          <w:b/>
          <w:bCs/>
          <w:color w:val="2E7D32"/>
          <w:sz w:val="22"/>
          <w:szCs w:val="22"/>
          <w:vertAlign w:val="superscript"/>
        </w:rPr>
        <w:t xml:space="preserve"> [11][1]</w:t>
      </w:r>
      <w:r>
        <w:rPr>
          <w:b w:val="false"/>
          <w:bCs w:val="false"/>
          <w:sz w:val="22"/>
          <w:szCs w:val="22"/>
        </w:rPr>
        <w:t xml:space="preserve">.</w:t>
      </w:r>
    </w:p>
    <w:p>
      <w:pPr>
        <w:pStyle w:val="Heading1"/>
        <w:pBdr>
          <w:bottom w:val="single" w:color="2E7D32" w:sz="8" w:space="4"/>
        </w:pBdr>
        <w:spacing w:after="200" w:before="400"/>
      </w:pPr>
      <w:r>
        <w:rPr>
          <w:b/>
          <w:bCs/>
          <w:color w:val="1F3B57"/>
          <w:sz w:val="30"/>
          <w:szCs w:val="30"/>
        </w:rPr>
        <w:t xml:space="preserve">4. ¿Cuándo lo hace? (Temporalidad)</w:t>
      </w:r>
    </w:p>
    <w:p>
      <w:pPr>
        <w:pStyle w:val="ListParagraph"/>
        <w:numPr>
          <w:ilvl w:val="0"/>
          <w:numId w:val="2"/>
        </w:numPr>
        <w:spacing w:after="100"/>
        <w:jc w:val="both"/>
      </w:pPr>
      <w:r>
        <w:rPr>
          <w:sz w:val="22"/>
          <w:szCs w:val="22"/>
        </w:rPr>
        <w:t xml:space="preserve">La Convocatoria y Reglas de Operación se publican anualmente en la Gaceta del Gobierno del Estado de México, generalmente entre enero y febrero de cada ejercicio fiscal (por ejemplo, 27 de enero de 2026 para el ejercicio 2026; convocatoria 2025 difundida en febrero de 2025).</w:t>
      </w:r>
    </w:p>
    <w:p>
      <w:pPr>
        <w:pStyle w:val="ListParagraph"/>
        <w:numPr>
          <w:ilvl w:val="0"/>
          <w:numId w:val="2"/>
        </w:numPr>
        <w:spacing w:after="100"/>
        <w:jc w:val="both"/>
      </w:pPr>
      <w:r>
        <w:rPr>
          <w:sz w:val="22"/>
          <w:szCs w:val="22"/>
        </w:rPr>
        <w:t xml:space="preserve">La recepción de solicitudes y la integración de expedientes ocurre en el primer trimestre del año, en las oficinas de las Delegaciones Regionales Forestales.</w:t>
      </w:r>
    </w:p>
    <w:p>
      <w:pPr>
        <w:pStyle w:val="ListParagraph"/>
        <w:numPr>
          <w:ilvl w:val="0"/>
          <w:numId w:val="2"/>
        </w:numPr>
        <w:spacing w:after="100"/>
        <w:jc w:val="both"/>
      </w:pPr>
      <w:r>
        <w:rPr>
          <w:sz w:val="22"/>
          <w:szCs w:val="22"/>
        </w:rPr>
        <w:t xml:space="preserve">Las jornadas de preparación de terreno (apertura de cepas, terrazas, Sistema PROBOSQUE) suelen realizarse antes del temporal de lluvias, en el marco de la "Semana de los Bosques" (primeros días de junio).</w:t>
      </w:r>
    </w:p>
    <w:p>
      <w:pPr>
        <w:pStyle w:val="ListParagraph"/>
        <w:numPr>
          <w:ilvl w:val="0"/>
          <w:numId w:val="2"/>
        </w:numPr>
        <w:spacing w:after="100"/>
        <w:jc w:val="both"/>
      </w:pPr>
      <w:r>
        <w:rPr>
          <w:sz w:val="22"/>
          <w:szCs w:val="22"/>
        </w:rPr>
        <w:t xml:space="preserve">La "Campaña Estatal de Restauración Hidrológico-Forestal" y las jornadas de plantación se concentran durante la temporada de lluvias (junio-septiembre), coincidiendo con el Día Estatal de la Reforestación.</w:t>
      </w:r>
    </w:p>
    <w:p>
      <w:pPr>
        <w:pStyle w:val="ListParagraph"/>
        <w:numPr>
          <w:ilvl w:val="0"/>
          <w:numId w:val="2"/>
        </w:numPr>
        <w:spacing w:after="100"/>
        <w:jc w:val="both"/>
      </w:pPr>
      <w:r>
        <w:rPr>
          <w:sz w:val="22"/>
          <w:szCs w:val="22"/>
        </w:rPr>
        <w:t xml:space="preserve">El seguimiento técnico (verificación de sobrevivencia) y el pago de la segunda ministración ocurren en el segundo semestre, previo al cierre del ejercicio fiscal (publicación del "Listado de Beneficiarios Cierre").</w:t>
      </w:r>
    </w:p>
    <w:p>
      <w:pPr>
        <w:spacing w:after="200"/>
        <w:jc w:val="both"/>
      </w:pPr>
      <w:r>
        <w:rPr>
          <w:i/>
          <w:iCs/>
          <w:color w:val="666666"/>
          <w:sz w:val="20"/>
          <w:szCs w:val="20"/>
        </w:rPr>
        <w:t xml:space="preserve">Fuentes: Gaceta del Gobierno, 27 de enero de 2026; comunicadores.mx, 4 jun. 2026; eje19.com.mx, 19 jun. 2026; edomexaldia.com, 9 feb. 2025 [12][13][14][15].</w:t>
      </w:r>
    </w:p>
    <w:p>
      <w:pPr>
        <w:pStyle w:val="Heading1"/>
        <w:pBdr>
          <w:bottom w:val="single" w:color="2E7D32" w:sz="8" w:space="4"/>
        </w:pBdr>
        <w:spacing w:after="200" w:before="400"/>
      </w:pPr>
      <w:r>
        <w:rPr>
          <w:b/>
          <w:bCs/>
          <w:color w:val="1F3B57"/>
          <w:sz w:val="30"/>
          <w:szCs w:val="30"/>
        </w:rPr>
        <w:t xml:space="preserve">5. ¿A quiénes va dirigido el apoyo? (Población objetivo)</w:t>
      </w:r>
    </w:p>
    <w:p>
      <w:pPr>
        <w:spacing w:after="160" w:line="300"/>
        <w:jc w:val="both"/>
      </w:pPr>
      <w:r>
        <w:rPr>
          <w:sz w:val="22"/>
          <w:szCs w:val="22"/>
        </w:rPr>
        <w:t xml:space="preserve">La población objetivo se define de forma consistente en las distintas Reglas de Operación revisadas:</w:t>
      </w:r>
    </w:p>
    <w:p>
      <w:pPr>
        <w:pStyle w:val="ListParagraph"/>
        <w:numPr>
          <w:ilvl w:val="0"/>
          <w:numId w:val="2"/>
        </w:numPr>
        <w:spacing w:after="100"/>
        <w:jc w:val="both"/>
      </w:pPr>
      <w:r>
        <w:rPr>
          <w:sz w:val="22"/>
          <w:szCs w:val="22"/>
        </w:rPr>
        <w:t xml:space="preserve">Núcleos agrarios (ejidos y comunidades).</w:t>
      </w:r>
    </w:p>
    <w:p>
      <w:pPr>
        <w:pStyle w:val="ListParagraph"/>
        <w:numPr>
          <w:ilvl w:val="0"/>
          <w:numId w:val="2"/>
        </w:numPr>
        <w:spacing w:after="100"/>
        <w:jc w:val="both"/>
      </w:pPr>
      <w:r>
        <w:rPr>
          <w:sz w:val="22"/>
          <w:szCs w:val="22"/>
        </w:rPr>
        <w:t xml:space="preserve">Personas físicas de nacionalidad mexicana.</w:t>
      </w:r>
    </w:p>
    <w:p>
      <w:pPr>
        <w:pStyle w:val="ListParagraph"/>
        <w:numPr>
          <w:ilvl w:val="0"/>
          <w:numId w:val="2"/>
        </w:numPr>
        <w:spacing w:after="100"/>
        <w:jc w:val="both"/>
      </w:pPr>
      <w:r>
        <w:rPr>
          <w:sz w:val="22"/>
          <w:szCs w:val="22"/>
        </w:rPr>
        <w:t xml:space="preserve">Personas jurídico-colectivas (personas morales) de nacionalidad mexicana.</w:t>
      </w:r>
    </w:p>
    <w:p>
      <w:pPr>
        <w:pStyle w:val="ListParagraph"/>
        <w:numPr>
          <w:ilvl w:val="0"/>
          <w:numId w:val="2"/>
        </w:numPr>
        <w:spacing w:after="100"/>
        <w:jc w:val="both"/>
      </w:pPr>
      <w:r>
        <w:rPr>
          <w:sz w:val="22"/>
          <w:szCs w:val="22"/>
        </w:rPr>
        <w:t xml:space="preserve">En todos los casos, deben acreditar la legal propiedad o posesión del predio dentro del territorio del Estado de México.</w:t>
      </w:r>
    </w:p>
    <w:p>
      <w:pPr>
        <w:pStyle w:val="ListParagraph"/>
        <w:numPr>
          <w:ilvl w:val="0"/>
          <w:numId w:val="2"/>
        </w:numPr>
        <w:spacing w:after="100"/>
        <w:jc w:val="both"/>
      </w:pPr>
      <w:r>
        <w:rPr>
          <w:sz w:val="22"/>
          <w:szCs w:val="22"/>
        </w:rPr>
        <w:t xml:space="preserve">El predio debe tener vocación forestal o preferentemente forestal; en algunas vertientes se exige una superficie mínima (por ejemplo, media hectárea en Restauración Ecológica de Ecosistemas Forestales).</w:t>
      </w:r>
    </w:p>
    <w:p>
      <w:pPr>
        <w:spacing w:after="160" w:line="300"/>
        <w:jc w:val="both"/>
      </w:pPr>
      <w:r>
        <w:rPr>
          <w:b w:val="false"/>
          <w:bCs w:val="false"/>
          <w:sz w:val="22"/>
          <w:szCs w:val="22"/>
        </w:rPr>
        <w:t xml:space="preserve">El programa puede operar en los 125 municipios del Estado de México para las vertientes de reforestación y mantenimiento; la vertiente de presas de gavión, en cambio, se ha limitado a municipios prioritarios de la Cuenca Alta del río Lerma, como Calimaya, Tenango del Valle, Toluca y Zinacantepec</w:t>
      </w:r>
      <w:r>
        <w:rPr>
          <w:b/>
          <w:bCs/>
          <w:color w:val="2E7D32"/>
          <w:sz w:val="22"/>
          <w:szCs w:val="22"/>
          <w:vertAlign w:val="superscript"/>
        </w:rPr>
        <w:t xml:space="preserve"> [1][16]</w:t>
      </w:r>
      <w:r>
        <w:rPr>
          <w:b w:val="false"/>
          <w:bCs w:val="false"/>
          <w:sz w:val="22"/>
          <w:szCs w:val="22"/>
        </w:rPr>
        <w:t xml:space="preserve">.</w:t>
      </w:r>
    </w:p>
    <w:p>
      <w:pPr>
        <w:spacing w:after="160" w:line="300"/>
        <w:jc w:val="both"/>
      </w:pPr>
      <w:r>
        <w:rPr>
          <w:sz w:val="22"/>
          <w:szCs w:val="22"/>
        </w:rPr>
        <w:t xml:space="preserve">Adicionalmente, PROBOSQUE convoca de forma paralela —aunque no es el mismo programa de estímulos económicos— a voluntarias y voluntarios "Guardianes de los Bosques Mexiquenses" (personas físicas, empresas, organizaciones civiles e instituciones públicas y privadas mayores de 18 años, de nacionalidad mexicana) para apoyar labores de combate a incendios, restauración, capacitación y difusión forestal.</w:t>
      </w:r>
    </w:p>
    <w:p>
      <w:pPr>
        <w:pStyle w:val="Heading1"/>
        <w:pBdr>
          <w:bottom w:val="single" w:color="2E7D32" w:sz="8" w:space="4"/>
        </w:pBdr>
        <w:spacing w:after="200" w:before="400"/>
      </w:pPr>
      <w:r>
        <w:rPr>
          <w:b/>
          <w:bCs/>
          <w:color w:val="1F3B57"/>
          <w:sz w:val="30"/>
          <w:szCs w:val="30"/>
        </w:rPr>
        <w:t xml:space="preserve">6. ¿Quién lo hace? Flujo operativo: convocatoria, operación y cierre</w:t>
      </w:r>
    </w:p>
    <w:p>
      <w:pPr>
        <w:pStyle w:val="Heading2"/>
        <w:spacing w:after="150" w:before="300"/>
      </w:pPr>
      <w:r>
        <w:rPr>
          <w:b/>
          <w:bCs/>
          <w:color w:val="2E7D32"/>
          <w:sz w:val="26"/>
          <w:szCs w:val="26"/>
        </w:rPr>
        <w:t xml:space="preserve">6.1 Actores e instancias que intervienen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shd w:fill="1F3B57" w:val="clear"/>
            <w:tcMar>
              <w:top w:type="dxa" w:w="100"/>
              <w:left w:type="dxa" w:w="120"/>
              <w:bottom w:type="dxa" w:w="100"/>
              <w:right w:type="dxa" w:w="120"/>
            </w:tcMar>
            <w:vAlign w:val="center"/>
          </w:tcPr>
          <w:p>
            <w:pPr>
              <w:jc w:val="center"/>
            </w:pPr>
            <w:r>
              <w:rPr>
                <w:b/>
                <w:bCs/>
                <w:color w:val="FFFFFF"/>
                <w:sz w:val="20"/>
                <w:szCs w:val="20"/>
              </w:rPr>
              <w:t xml:space="preserve">Actor / instancia</w:t>
            </w:r>
          </w:p>
        </w:tc>
        <w:tc>
          <w:tcPr>
            <w:tcW w:type="dxa" w:w="6600"/>
            <w:shd w:fill="1F3B57" w:val="clear"/>
            <w:tcMar>
              <w:top w:type="dxa" w:w="100"/>
              <w:left w:type="dxa" w:w="120"/>
              <w:bottom w:type="dxa" w:w="100"/>
              <w:right w:type="dxa" w:w="120"/>
            </w:tcMar>
            <w:vAlign w:val="center"/>
          </w:tcPr>
          <w:p>
            <w:pPr>
              <w:jc w:val="center"/>
            </w:pPr>
            <w:r>
              <w:rPr>
                <w:b/>
                <w:bCs/>
                <w:color w:val="FFFFFF"/>
                <w:sz w:val="20"/>
                <w:szCs w:val="20"/>
              </w:rPr>
              <w:t xml:space="preserve">Rol en el programa</w:t>
            </w:r>
          </w:p>
        </w:tc>
      </w:tr>
      <w:tr>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Secretaría del Campo (SeCampo)</w:t>
            </w:r>
          </w:p>
        </w:tc>
        <w:tc>
          <w:tcPr>
            <w:tcW w:type="dxa" w:w="6600"/>
            <w:shd w:fill="F2F2F2" w:val="clear"/>
            <w:tcMar>
              <w:top w:type="dxa" w:w="100"/>
              <w:left w:type="dxa" w:w="120"/>
              <w:bottom w:type="dxa" w:w="100"/>
              <w:right w:type="dxa" w:w="120"/>
            </w:tcMar>
            <w:vAlign w:val="center"/>
          </w:tcPr>
          <w:p>
            <w:pPr>
              <w:jc w:val="left"/>
            </w:pPr>
            <w:r>
              <w:rPr>
                <w:b w:val="false"/>
                <w:bCs w:val="false"/>
                <w:sz w:val="20"/>
                <w:szCs w:val="20"/>
              </w:rPr>
              <w:t xml:space="preserve">Cabeza de sector; publica la Convocatoria a través de PROBOSQUE y define la política pública forestal estatal.</w:t>
            </w:r>
          </w:p>
        </w:tc>
      </w:tr>
      <w:tr>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PROBOSQUE — Dirección General</w:t>
            </w:r>
          </w:p>
        </w:tc>
        <w:tc>
          <w:tcPr>
            <w:tcW w:type="dxa" w:w="6600"/>
            <w:shd w:fill="FFFFFF" w:val="clear"/>
            <w:tcMar>
              <w:top w:type="dxa" w:w="100"/>
              <w:left w:type="dxa" w:w="120"/>
              <w:bottom w:type="dxa" w:w="100"/>
              <w:right w:type="dxa" w:w="120"/>
            </w:tcMar>
            <w:vAlign w:val="center"/>
          </w:tcPr>
          <w:p>
            <w:pPr>
              <w:jc w:val="left"/>
            </w:pPr>
            <w:r>
              <w:rPr>
                <w:b w:val="false"/>
                <w:bCs w:val="false"/>
                <w:sz w:val="20"/>
                <w:szCs w:val="20"/>
              </w:rPr>
              <w:t xml:space="preserve">Emite y firma la Convocatoria; representada por el Director General, quien también preside/participa en los comités estatales.</w:t>
            </w:r>
          </w:p>
        </w:tc>
      </w:tr>
      <w:tr>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Dirección de Restauración y Fomento Forestal (DRFF)</w:t>
            </w:r>
          </w:p>
        </w:tc>
        <w:tc>
          <w:tcPr>
            <w:tcW w:type="dxa" w:w="6600"/>
            <w:shd w:fill="F2F2F2" w:val="clear"/>
            <w:tcMar>
              <w:top w:type="dxa" w:w="100"/>
              <w:left w:type="dxa" w:w="120"/>
              <w:bottom w:type="dxa" w:w="100"/>
              <w:right w:type="dxa" w:w="120"/>
            </w:tcMar>
            <w:vAlign w:val="center"/>
          </w:tcPr>
          <w:p>
            <w:pPr>
              <w:jc w:val="left"/>
            </w:pPr>
            <w:r>
              <w:rPr>
                <w:b w:val="false"/>
                <w:bCs w:val="false"/>
                <w:sz w:val="20"/>
                <w:szCs w:val="20"/>
              </w:rPr>
              <w:t xml:space="preserve">Área técnica normativa que diseña las vertientes, da seguimiento técnico a reforestación y presas de gavión, y opera el correo/línea de atención del programa (800 018 7878; probosque.drff@edomex.gob.mx).</w:t>
            </w:r>
          </w:p>
        </w:tc>
      </w:tr>
      <w:tr>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Unidad Jurídica, de Igualdad de Género y Erradicación de la Violencia (PROBOSQUE)</w:t>
            </w:r>
          </w:p>
        </w:tc>
        <w:tc>
          <w:tcPr>
            <w:tcW w:type="dxa" w:w="6600"/>
            <w:shd w:fill="FFFFFF" w:val="clear"/>
            <w:tcMar>
              <w:top w:type="dxa" w:w="100"/>
              <w:left w:type="dxa" w:w="120"/>
              <w:bottom w:type="dxa" w:w="100"/>
              <w:right w:type="dxa" w:w="120"/>
            </w:tcMar>
            <w:vAlign w:val="center"/>
          </w:tcPr>
          <w:p>
            <w:pPr>
              <w:jc w:val="left"/>
            </w:pPr>
            <w:r>
              <w:rPr>
                <w:b w:val="false"/>
                <w:bCs w:val="false"/>
                <w:sz w:val="20"/>
                <w:szCs w:val="20"/>
              </w:rPr>
              <w:t xml:space="preserve">Valida jurídicamente la Convocatoria y las Reglas de Operación antes de su publicación.</w:t>
            </w:r>
          </w:p>
        </w:tc>
      </w:tr>
      <w:tr>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Comité Técnico del FIPASAHEM</w:t>
            </w:r>
          </w:p>
        </w:tc>
        <w:tc>
          <w:tcPr>
            <w:tcW w:type="dxa" w:w="6600"/>
            <w:shd w:fill="F2F2F2" w:val="clear"/>
            <w:tcMar>
              <w:top w:type="dxa" w:w="100"/>
              <w:left w:type="dxa" w:w="120"/>
              <w:bottom w:type="dxa" w:w="100"/>
              <w:right w:type="dxa" w:w="120"/>
            </w:tcMar>
            <w:vAlign w:val="center"/>
          </w:tcPr>
          <w:p>
            <w:pPr>
              <w:jc w:val="left"/>
            </w:pPr>
            <w:r>
              <w:rPr>
                <w:b w:val="false"/>
                <w:bCs w:val="false"/>
                <w:sz w:val="20"/>
                <w:szCs w:val="20"/>
              </w:rPr>
              <w:t xml:space="preserve">Autoriza mediante acuerdo la Convocatoria y las Reglas de Operación (p. ej. acuerdo FIPASAHEM 25/EXT039/02 del 18 de diciembre de 2025).</w:t>
            </w:r>
          </w:p>
        </w:tc>
      </w:tr>
      <w:tr>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Comité de Admisión y Seguimiento del Programa</w:t>
            </w:r>
          </w:p>
        </w:tc>
        <w:tc>
          <w:tcPr>
            <w:tcW w:type="dxa" w:w="6600"/>
            <w:shd w:fill="FFFFFF" w:val="clear"/>
            <w:tcMar>
              <w:top w:type="dxa" w:w="100"/>
              <w:left w:type="dxa" w:w="120"/>
              <w:bottom w:type="dxa" w:w="100"/>
              <w:right w:type="dxa" w:w="120"/>
            </w:tcMar>
            <w:vAlign w:val="center"/>
          </w:tcPr>
          <w:p>
            <w:pPr>
              <w:jc w:val="left"/>
            </w:pPr>
            <w:r>
              <w:rPr>
                <w:b w:val="false"/>
                <w:bCs w:val="false"/>
                <w:sz w:val="20"/>
                <w:szCs w:val="20"/>
              </w:rPr>
              <w:t xml:space="preserve">Instancia normativa del programa: resuelve la asignación de solicitudes factibles, interpreta las Reglas de Operación y resuelve lo no previsto en ellas; autoriza el pago de ministraciones.</w:t>
            </w:r>
          </w:p>
        </w:tc>
      </w:tr>
      <w:tr>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Comité Estatal de Restauración Forestal</w:t>
            </w:r>
          </w:p>
        </w:tc>
        <w:tc>
          <w:tcPr>
            <w:tcW w:type="dxa" w:w="6600"/>
            <w:shd w:fill="F2F2F2" w:val="clear"/>
            <w:tcMar>
              <w:top w:type="dxa" w:w="100"/>
              <w:left w:type="dxa" w:w="120"/>
              <w:bottom w:type="dxa" w:w="100"/>
              <w:right w:type="dxa" w:w="120"/>
            </w:tcMar>
            <w:vAlign w:val="center"/>
          </w:tcPr>
          <w:p>
            <w:pPr>
              <w:jc w:val="left"/>
            </w:pPr>
            <w:r>
              <w:rPr>
                <w:b w:val="false"/>
                <w:bCs w:val="false"/>
                <w:sz w:val="20"/>
                <w:szCs w:val="20"/>
              </w:rPr>
              <w:t xml:space="preserve">Órgano colegiado de 20 integrantes (dependencias federales —SADER—, estatales, municipales, académicas y de la sociedad civil, como Reforestamos México, A.C. y colegios de profesionistas forestales) que orienta la estrategia y las campañas estatales de restauración.</w:t>
            </w:r>
          </w:p>
        </w:tc>
      </w:tr>
      <w:tr>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Nueve Delegaciones Regionales Forestales (Toluca, Naucalpan, Texcoco, Tejupilco, Atlacomulco, Coatepec Harinas, Valle de Bravo, Amecameca y Jilotepec)</w:t>
            </w:r>
          </w:p>
        </w:tc>
        <w:tc>
          <w:tcPr>
            <w:tcW w:type="dxa" w:w="6600"/>
            <w:shd w:fill="FFFFFF" w:val="clear"/>
            <w:tcMar>
              <w:top w:type="dxa" w:w="100"/>
              <w:left w:type="dxa" w:w="120"/>
              <w:bottom w:type="dxa" w:w="100"/>
              <w:right w:type="dxa" w:w="120"/>
            </w:tcMar>
            <w:vAlign w:val="center"/>
          </w:tcPr>
          <w:p>
            <w:pPr>
              <w:jc w:val="left"/>
            </w:pPr>
            <w:r>
              <w:rPr>
                <w:b w:val="false"/>
                <w:bCs w:val="false"/>
                <w:sz w:val="20"/>
                <w:szCs w:val="20"/>
              </w:rPr>
              <w:t xml:space="preserve">Reciben solicitudes, integran expedientes, realizan verificación en campo, brindan asistencia técnica y dan seguimiento local a los beneficiarios; encabezadas por una Delegada o Delegado Regional Forestal.</w:t>
            </w:r>
          </w:p>
        </w:tc>
      </w:tr>
      <w:tr>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Viveros forestales de PROBOSQUE (17 en total)</w:t>
            </w:r>
          </w:p>
        </w:tc>
        <w:tc>
          <w:tcPr>
            <w:tcW w:type="dxa" w:w="6600"/>
            <w:shd w:fill="F2F2F2" w:val="clear"/>
            <w:tcMar>
              <w:top w:type="dxa" w:w="100"/>
              <w:left w:type="dxa" w:w="120"/>
              <w:bottom w:type="dxa" w:w="100"/>
              <w:right w:type="dxa" w:w="120"/>
            </w:tcMar>
            <w:vAlign w:val="center"/>
          </w:tcPr>
          <w:p>
            <w:pPr>
              <w:jc w:val="left"/>
            </w:pPr>
            <w:r>
              <w:rPr>
                <w:b w:val="false"/>
                <w:bCs w:val="false"/>
                <w:sz w:val="20"/>
                <w:szCs w:val="20"/>
              </w:rPr>
              <w:t xml:space="preserve">Producen y entregan la planta forestal gratuita asignada a cada beneficiario, según la región.</w:t>
            </w:r>
          </w:p>
        </w:tc>
      </w:tr>
      <w:tr>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Personal técnico de campo / brigadistas de PROBOSQUE</w:t>
            </w:r>
          </w:p>
        </w:tc>
        <w:tc>
          <w:tcPr>
            <w:tcW w:type="dxa" w:w="6600"/>
            <w:shd w:fill="FFFFFF" w:val="clear"/>
            <w:tcMar>
              <w:top w:type="dxa" w:w="100"/>
              <w:left w:type="dxa" w:w="120"/>
              <w:bottom w:type="dxa" w:w="100"/>
              <w:right w:type="dxa" w:w="120"/>
            </w:tcMar>
            <w:vAlign w:val="center"/>
          </w:tcPr>
          <w:p>
            <w:pPr>
              <w:jc w:val="left"/>
            </w:pPr>
            <w:r>
              <w:rPr>
                <w:b w:val="false"/>
                <w:bCs w:val="false"/>
                <w:sz w:val="20"/>
                <w:szCs w:val="20"/>
              </w:rPr>
              <w:t xml:space="preserve">Ejecutan y supervisan las jornadas de preparación de terreno y las verificaciones de sobrevivencia; en algunas vertientes coordinan con "Dragones de PROBOSQUE" y brigadas contra incendios.</w:t>
            </w:r>
          </w:p>
        </w:tc>
      </w:tr>
      <w:tr>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Prestador de Servicios Técnicos Forestales (PSTF) con Registro Forestal Nacional (RFN)</w:t>
            </w:r>
          </w:p>
        </w:tc>
        <w:tc>
          <w:tcPr>
            <w:tcW w:type="dxa" w:w="6600"/>
            <w:shd w:fill="F2F2F2" w:val="clear"/>
            <w:tcMar>
              <w:top w:type="dxa" w:w="100"/>
              <w:left w:type="dxa" w:w="120"/>
              <w:bottom w:type="dxa" w:w="100"/>
              <w:right w:type="dxa" w:w="120"/>
            </w:tcMar>
            <w:vAlign w:val="center"/>
          </w:tcPr>
          <w:p>
            <w:pPr>
              <w:jc w:val="left"/>
            </w:pPr>
            <w:r>
              <w:rPr>
                <w:b w:val="false"/>
                <w:bCs w:val="false"/>
                <w:sz w:val="20"/>
                <w:szCs w:val="20"/>
              </w:rPr>
              <w:t xml:space="preserve">Elabora, cuando el proyecto lo requiere por su complejidad, el Proyecto Técnico de Restauración Forestal Integral (PTRFI).</w:t>
            </w:r>
          </w:p>
        </w:tc>
      </w:tr>
      <w:tr>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Gobiernos municipales</w:t>
            </w:r>
          </w:p>
        </w:tc>
        <w:tc>
          <w:tcPr>
            <w:tcW w:type="dxa" w:w="6600"/>
            <w:shd w:fill="FFFFFF" w:val="clear"/>
            <w:tcMar>
              <w:top w:type="dxa" w:w="100"/>
              <w:left w:type="dxa" w:w="120"/>
              <w:bottom w:type="dxa" w:w="100"/>
              <w:right w:type="dxa" w:w="120"/>
            </w:tcMar>
            <w:vAlign w:val="center"/>
          </w:tcPr>
          <w:p>
            <w:pPr>
              <w:jc w:val="left"/>
            </w:pPr>
            <w:r>
              <w:rPr>
                <w:b w:val="false"/>
                <w:bCs w:val="false"/>
                <w:sz w:val="20"/>
                <w:szCs w:val="20"/>
              </w:rPr>
              <w:t xml:space="preserve">Participan como invitados permanentes en el Comité Estatal de Restauración Forestal (los de mayor cobertura forestal) y colaboran logísticamente en las jornadas de plantación y limpieza.</w:t>
            </w:r>
          </w:p>
        </w:tc>
      </w:tr>
      <w:tr>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Núcleos agrarios, ejidatarios, comuneros y personas propietarias/poseedoras</w:t>
            </w:r>
          </w:p>
        </w:tc>
        <w:tc>
          <w:tcPr>
            <w:tcW w:type="dxa" w:w="6600"/>
            <w:shd w:fill="F2F2F2" w:val="clear"/>
            <w:tcMar>
              <w:top w:type="dxa" w:w="100"/>
              <w:left w:type="dxa" w:w="120"/>
              <w:bottom w:type="dxa" w:w="100"/>
              <w:right w:type="dxa" w:w="120"/>
            </w:tcMar>
            <w:vAlign w:val="center"/>
          </w:tcPr>
          <w:p>
            <w:pPr>
              <w:jc w:val="left"/>
            </w:pPr>
            <w:r>
              <w:rPr>
                <w:b w:val="false"/>
                <w:bCs w:val="false"/>
                <w:sz w:val="20"/>
                <w:szCs w:val="20"/>
              </w:rPr>
              <w:t xml:space="preserve">Son la población beneficiaria: presentan la solicitud, aportan el predio, ejecutan compromisos (p. ej. construcción de presas de gavión) y participan en las jornadas comunitarias.</w:t>
            </w:r>
          </w:p>
        </w:tc>
      </w:tr>
      <w:tr>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Otras dependencias estatales (Secretaría General de Gobierno, Secretaría del Bienestar, Secretaría de Educación, Ciencia y Tecnología)</w:t>
            </w:r>
          </w:p>
        </w:tc>
        <w:tc>
          <w:tcPr>
            <w:tcW w:type="dxa" w:w="6600"/>
            <w:shd w:fill="FFFFFF" w:val="clear"/>
            <w:tcMar>
              <w:top w:type="dxa" w:w="100"/>
              <w:left w:type="dxa" w:w="120"/>
              <w:bottom w:type="dxa" w:w="100"/>
              <w:right w:type="dxa" w:w="120"/>
            </w:tcMar>
            <w:vAlign w:val="center"/>
          </w:tcPr>
          <w:p>
            <w:pPr>
              <w:jc w:val="left"/>
            </w:pPr>
            <w:r>
              <w:rPr>
                <w:b w:val="false"/>
                <w:bCs w:val="false"/>
                <w:sz w:val="20"/>
                <w:szCs w:val="20"/>
              </w:rPr>
              <w:t xml:space="preserve">Colaboran en la difusión, logística y participación social de las campañas de restauración.</w:t>
            </w:r>
          </w:p>
        </w:tc>
      </w:tr>
      <w:tr>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Instituciones educativas y organizaciones sociales</w:t>
            </w:r>
          </w:p>
        </w:tc>
        <w:tc>
          <w:tcPr>
            <w:tcW w:type="dxa" w:w="6600"/>
            <w:shd w:fill="F2F2F2" w:val="clear"/>
            <w:tcMar>
              <w:top w:type="dxa" w:w="100"/>
              <w:left w:type="dxa" w:w="120"/>
              <w:bottom w:type="dxa" w:w="100"/>
              <w:right w:type="dxa" w:w="120"/>
            </w:tcMar>
            <w:vAlign w:val="center"/>
          </w:tcPr>
          <w:p>
            <w:pPr>
              <w:jc w:val="left"/>
            </w:pPr>
            <w:r>
              <w:rPr>
                <w:b w:val="false"/>
                <w:bCs w:val="false"/>
                <w:sz w:val="20"/>
                <w:szCs w:val="20"/>
              </w:rPr>
              <w:t xml:space="preserve">Participan como voluntariado en jornadas de reforestación y restauración.</w:t>
            </w:r>
          </w:p>
        </w:tc>
      </w:tr>
    </w:tbl>
    <w:p>
      <w:pPr>
        <w:pStyle w:val="Heading2"/>
        <w:spacing w:after="150" w:before="300"/>
      </w:pPr>
      <w:r>
        <w:rPr>
          <w:b/>
          <w:bCs/>
          <w:color w:val="2E7D32"/>
          <w:sz w:val="26"/>
          <w:szCs w:val="26"/>
        </w:rPr>
        <w:t xml:space="preserve">6.2 Flujo del proceso: de la convocatoria al cierre</w:t>
      </w:r>
    </w:p>
    <w:p>
      <w:pPr>
        <w:spacing w:after="160" w:line="300"/>
        <w:jc w:val="both"/>
      </w:pPr>
      <w:r>
        <w:rPr>
          <w:sz w:val="22"/>
          <w:szCs w:val="22"/>
        </w:rPr>
        <w:t xml:space="preserve">Con base en las Reglas de Operación revisadas (2021-2026) y las notas de prensa sobre las campañas anuales, el proceso puede reconstruirse en tres grandes etapas — Convocatoria, Operación y Cierre — con los siguientes pasos:</w:t>
      </w:r>
    </w:p>
    <w:p>
      <w:pPr>
        <w:pStyle w:val="Heading3"/>
        <w:spacing w:after="100" w:before="200"/>
      </w:pPr>
      <w:r>
        <w:rPr>
          <w:b/>
          <w:bCs/>
          <w:color w:val="1F3B57"/>
          <w:sz w:val="23"/>
          <w:szCs w:val="23"/>
        </w:rPr>
        <w:t xml:space="preserve">Etapa 1. Convocatoria (planeación y apertura)</w:t>
      </w:r>
    </w:p>
    <w:p>
      <w:pPr>
        <w:pStyle w:val="ListParagraph"/>
        <w:numPr>
          <w:ilvl w:val="0"/>
          <w:numId w:val="3"/>
        </w:numPr>
        <w:spacing w:after="100"/>
        <w:jc w:val="both"/>
      </w:pPr>
      <w:r>
        <w:rPr>
          <w:sz w:val="22"/>
          <w:szCs w:val="22"/>
        </w:rPr>
        <w:t xml:space="preserve">La Dirección de Restauración y Fomento Forestal, junto con otras direcciones técnicas de PROBOSQUE, define las vertientes, montos, metas y áreas elegibles del ejercicio fiscal, apoyándose en cartografía (Inventario Forestal, Mapa Forestal y Mapa de Pendientes) para delimitar zonas prioritarias de restauración.</w:t>
      </w:r>
    </w:p>
    <w:p>
      <w:pPr>
        <w:pStyle w:val="ListParagraph"/>
        <w:numPr>
          <w:ilvl w:val="0"/>
          <w:numId w:val="3"/>
        </w:numPr>
        <w:spacing w:after="100"/>
        <w:jc w:val="both"/>
      </w:pPr>
      <w:r>
        <w:rPr>
          <w:sz w:val="22"/>
          <w:szCs w:val="22"/>
        </w:rPr>
        <w:t xml:space="preserve">La Unidad Jurídica de PROBOSQUE valida el proyecto de Convocatoria y Reglas de Operación.</w:t>
      </w:r>
    </w:p>
    <w:p>
      <w:pPr>
        <w:pStyle w:val="ListParagraph"/>
        <w:numPr>
          <w:ilvl w:val="0"/>
          <w:numId w:val="3"/>
        </w:numPr>
        <w:spacing w:after="100"/>
        <w:jc w:val="both"/>
      </w:pPr>
      <w:r>
        <w:rPr>
          <w:sz w:val="22"/>
          <w:szCs w:val="22"/>
        </w:rPr>
        <w:t xml:space="preserve">El Comité Técnico del FIPASAHEM autoriza el contenido mediante acuerdo formal.</w:t>
      </w:r>
    </w:p>
    <w:p>
      <w:pPr>
        <w:pStyle w:val="ListParagraph"/>
        <w:numPr>
          <w:ilvl w:val="0"/>
          <w:numId w:val="3"/>
        </w:numPr>
        <w:spacing w:after="100"/>
        <w:jc w:val="both"/>
      </w:pPr>
      <w:r>
        <w:rPr>
          <w:sz w:val="22"/>
          <w:szCs w:val="22"/>
        </w:rPr>
        <w:t xml:space="preserve">El Director General de PROBOSQUE firma y publica la Convocatoria en el Periódico Oficial "Gaceta del Gobierno".</w:t>
      </w:r>
    </w:p>
    <w:p>
      <w:pPr>
        <w:pStyle w:val="ListParagraph"/>
        <w:numPr>
          <w:ilvl w:val="0"/>
          <w:numId w:val="3"/>
        </w:numPr>
        <w:spacing w:after="100"/>
        <w:jc w:val="both"/>
      </w:pPr>
      <w:r>
        <w:rPr>
          <w:sz w:val="22"/>
          <w:szCs w:val="22"/>
        </w:rPr>
        <w:t xml:space="preserve">PROBOSQUE difunde la Convocatoria en su sitio web y en las Delegaciones Regionales Forestales, junto con los formatos: Solicitud Única (FO-PB-501 A/B) y Registro de Información de la Persona Solicitante y/o Beneficiaria (FO-PB-502).</w:t>
      </w:r>
    </w:p>
    <w:p>
      <w:pPr>
        <w:pStyle w:val="ListParagraph"/>
        <w:numPr>
          <w:ilvl w:val="0"/>
          <w:numId w:val="3"/>
        </w:numPr>
        <w:spacing w:after="100"/>
        <w:jc w:val="both"/>
      </w:pPr>
      <w:r>
        <w:rPr>
          <w:sz w:val="22"/>
          <w:szCs w:val="22"/>
        </w:rPr>
        <w:t xml:space="preserve">Personas interesadas (núcleos agrarios, personas físicas y jurídico-colectivas) reúnen la documentación requerida (identificación, acreditación de propiedad o posesión, plano georreferenciado del predio, entre otros) y presentan su solicitud en la Delegación Regional Forestal correspondiente a la ubicación del predio.</w:t>
      </w:r>
    </w:p>
    <w:p>
      <w:pPr>
        <w:pStyle w:val="Heading3"/>
        <w:spacing w:after="100" w:before="200"/>
      </w:pPr>
      <w:r>
        <w:rPr>
          <w:b/>
          <w:bCs/>
          <w:color w:val="1F3B57"/>
          <w:sz w:val="23"/>
          <w:szCs w:val="23"/>
        </w:rPr>
        <w:t xml:space="preserve">Etapa 2. Operación (dictamen, ejecución y seguimiento)</w:t>
      </w:r>
    </w:p>
    <w:p>
      <w:pPr>
        <w:pStyle w:val="ListParagraph"/>
        <w:numPr>
          <w:ilvl w:val="0"/>
          <w:numId w:val="3"/>
        </w:numPr>
        <w:spacing w:after="100"/>
        <w:jc w:val="both"/>
      </w:pPr>
      <w:r>
        <w:rPr>
          <w:sz w:val="22"/>
          <w:szCs w:val="22"/>
        </w:rPr>
        <w:t xml:space="preserve">La Delegación Regional Forestal recibe y revisa que el expediente esté completo; en su caso, realiza una visita de verificación al predio (elegibilidad técnica y superficie).</w:t>
      </w:r>
    </w:p>
    <w:p>
      <w:pPr>
        <w:pStyle w:val="ListParagraph"/>
        <w:numPr>
          <w:ilvl w:val="0"/>
          <w:numId w:val="3"/>
        </w:numPr>
        <w:spacing w:after="100"/>
        <w:jc w:val="both"/>
      </w:pPr>
      <w:r>
        <w:rPr>
          <w:sz w:val="22"/>
          <w:szCs w:val="22"/>
        </w:rPr>
        <w:t xml:space="preserve">El Comité de Admisión y Seguimiento del Programa analiza las solicitudes, resuelve la factibilidad y publica los listados de solicitudes factibles, no factibles y de espera (por vertiente y por publicación, ya que suele haber varias publicaciones parciales durante el año).</w:t>
      </w:r>
    </w:p>
    <w:p>
      <w:pPr>
        <w:pStyle w:val="ListParagraph"/>
        <w:numPr>
          <w:ilvl w:val="0"/>
          <w:numId w:val="3"/>
        </w:numPr>
        <w:spacing w:after="100"/>
        <w:jc w:val="both"/>
      </w:pPr>
      <w:r>
        <w:rPr>
          <w:sz w:val="22"/>
          <w:szCs w:val="22"/>
        </w:rPr>
        <w:t xml:space="preserve">Las personas cuya solicitud resulta factible firman el Contrato de Adhesión, documento que formaliza los compromisos y calendario de actividades.</w:t>
      </w:r>
    </w:p>
    <w:p>
      <w:pPr>
        <w:pStyle w:val="ListParagraph"/>
        <w:numPr>
          <w:ilvl w:val="0"/>
          <w:numId w:val="3"/>
        </w:numPr>
        <w:spacing w:after="100"/>
        <w:jc w:val="both"/>
      </w:pPr>
      <w:r>
        <w:rPr>
          <w:sz w:val="22"/>
          <w:szCs w:val="22"/>
        </w:rPr>
        <w:t xml:space="preserve">PROBOSQUE cubre la primera ministración del estímulo económico (70% en la mayoría de las vertientes; 100% si la superficie es menor a 3 hectáreas) y entrega la planta forestal producida en sus viveros regionales.</w:t>
      </w:r>
    </w:p>
    <w:p>
      <w:pPr>
        <w:pStyle w:val="ListParagraph"/>
        <w:numPr>
          <w:ilvl w:val="0"/>
          <w:numId w:val="3"/>
        </w:numPr>
        <w:spacing w:after="100"/>
        <w:jc w:val="both"/>
      </w:pPr>
      <w:r>
        <w:rPr>
          <w:sz w:val="22"/>
          <w:szCs w:val="22"/>
        </w:rPr>
        <w:t xml:space="preserve">Se realizan las jornadas de preparación de terreno (apertura de cepas, trazo de curvas a nivel, terrazas, Sistema PROBOSQUE) en las nueve regiones forestales, generalmente antes de la temporada de lluvias, con apoyo de personal técnico, ejidatarios, escuelas y municipios.</w:t>
      </w:r>
    </w:p>
    <w:p>
      <w:pPr>
        <w:pStyle w:val="ListParagraph"/>
        <w:numPr>
          <w:ilvl w:val="0"/>
          <w:numId w:val="3"/>
        </w:numPr>
        <w:spacing w:after="100"/>
        <w:jc w:val="both"/>
      </w:pPr>
      <w:r>
        <w:rPr>
          <w:sz w:val="22"/>
          <w:szCs w:val="22"/>
        </w:rPr>
        <w:t xml:space="preserve">Durante la temporada de lluvias se ejecutan las jornadas de plantación / restauración (Campaña Estatal de Restauración Hidrológico-Forestal), y en las vertientes de mantenimiento se realizan las actividades comprometidas (replante obligatorio más actividades alternas).</w:t>
      </w:r>
    </w:p>
    <w:p>
      <w:pPr>
        <w:pStyle w:val="ListParagraph"/>
        <w:numPr>
          <w:ilvl w:val="0"/>
          <w:numId w:val="3"/>
        </w:numPr>
        <w:spacing w:after="100"/>
        <w:jc w:val="both"/>
      </w:pPr>
      <w:r>
        <w:rPr>
          <w:sz w:val="22"/>
          <w:szCs w:val="22"/>
        </w:rPr>
        <w:t xml:space="preserve">En la vertiente de presas de gavión, el propio beneficiario construye o da mantenimiento a la obra, con asesoría y seguimiento técnico de la Dirección de Restauración y Fomento Forestal y de la Delegación Regional Forestal correspondiente.</w:t>
      </w:r>
    </w:p>
    <w:p>
      <w:pPr>
        <w:pStyle w:val="ListParagraph"/>
        <w:numPr>
          <w:ilvl w:val="0"/>
          <w:numId w:val="3"/>
        </w:numPr>
        <w:spacing w:after="100"/>
        <w:jc w:val="both"/>
      </w:pPr>
      <w:r>
        <w:rPr>
          <w:sz w:val="22"/>
          <w:szCs w:val="22"/>
        </w:rPr>
        <w:t xml:space="preserve">El personal técnico de PROBOSQUE realiza verificaciones de campo para medir el índice de sobrevivencia de la planta y el avance de las actividades comprometidas.</w:t>
      </w:r>
    </w:p>
    <w:p>
      <w:pPr>
        <w:pStyle w:val="Heading3"/>
        <w:spacing w:after="100" w:before="200"/>
      </w:pPr>
      <w:r>
        <w:rPr>
          <w:b/>
          <w:bCs/>
          <w:color w:val="1F3B57"/>
          <w:sz w:val="23"/>
          <w:szCs w:val="23"/>
        </w:rPr>
        <w:t xml:space="preserve">Etapa 3. Cierre (comprobación, pago final y rendición de cuentas)</w:t>
      </w:r>
    </w:p>
    <w:p>
      <w:pPr>
        <w:pStyle w:val="ListParagraph"/>
        <w:numPr>
          <w:ilvl w:val="0"/>
          <w:numId w:val="3"/>
        </w:numPr>
        <w:spacing w:after="100"/>
        <w:jc w:val="both"/>
      </w:pPr>
      <w:r>
        <w:rPr>
          <w:sz w:val="22"/>
          <w:szCs w:val="22"/>
        </w:rPr>
        <w:t xml:space="preserve">Con base en la verificación técnica, el Comité de Admisión y Seguimiento autoriza la segunda ministración (30% restante, o la parte proporcional de lo efectivamente cumplido).</w:t>
      </w:r>
    </w:p>
    <w:p>
      <w:pPr>
        <w:pStyle w:val="ListParagraph"/>
        <w:numPr>
          <w:ilvl w:val="0"/>
          <w:numId w:val="3"/>
        </w:numPr>
        <w:spacing w:after="100"/>
        <w:jc w:val="both"/>
      </w:pPr>
      <w:r>
        <w:rPr>
          <w:sz w:val="22"/>
          <w:szCs w:val="22"/>
        </w:rPr>
        <w:t xml:space="preserve">PROBOSQUE publica el "Listado de Personas Beneficiarias" y, en su caso, el "Listado de Beneficiarios Incumplidos", con corte a una fecha determinada.</w:t>
      </w:r>
    </w:p>
    <w:p>
      <w:pPr>
        <w:pStyle w:val="ListParagraph"/>
        <w:numPr>
          <w:ilvl w:val="0"/>
          <w:numId w:val="3"/>
        </w:numPr>
        <w:spacing w:after="100"/>
        <w:jc w:val="both"/>
      </w:pPr>
      <w:r>
        <w:rPr>
          <w:sz w:val="22"/>
          <w:szCs w:val="22"/>
        </w:rPr>
        <w:t xml:space="preserve">Se genera el "Listado de Personas Beneficiarias Cierre" del ejercicio fiscal, que documenta a quienes concluyeron satisfactoriamente sus compromisos.</w:t>
      </w:r>
    </w:p>
    <w:p>
      <w:pPr>
        <w:pStyle w:val="ListParagraph"/>
        <w:numPr>
          <w:ilvl w:val="0"/>
          <w:numId w:val="3"/>
        </w:numPr>
        <w:spacing w:after="100"/>
        <w:jc w:val="both"/>
      </w:pPr>
      <w:r>
        <w:rPr>
          <w:sz w:val="22"/>
          <w:szCs w:val="22"/>
        </w:rPr>
        <w:t xml:space="preserve">La información de resultados (hectáreas restauradas, planta producida y entregada, presas de gavión construidas, sobrevivencia lograda) se integra a los informes institucionales de PROBOSQUE (por ejemplo, los balances anuales presentados en el aniversario del organismo) y sirve de base para el diseño de la Convocatoria del siguiente ejercicio fiscal, cerrando el ciclo.</w:t>
      </w:r>
    </w:p>
    <w:p>
      <w:pPr>
        <w:spacing w:after="160" w:line="300"/>
        <w:jc w:val="both"/>
      </w:pPr>
      <w:r>
        <w:rPr>
          <w:sz w:val="22"/>
          <w:szCs w:val="22"/>
        </w:rPr>
        <w:t xml:space="preserve">El siguiente esquema resume el flujo descrito: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00"/>
      </w:tblGrid>
      <w:tr>
        <w:trPr>
          <w:tblHeader/>
        </w:trPr>
        <w:tc>
          <w:tcPr>
            <w:tcW w:type="dxa" w:w="3200"/>
            <w:shd w:fill="1F3B57" w:val="clear"/>
            <w:tcMar>
              <w:top w:type="dxa" w:w="100"/>
              <w:left w:type="dxa" w:w="120"/>
              <w:bottom w:type="dxa" w:w="100"/>
              <w:right w:type="dxa" w:w="120"/>
            </w:tcMar>
            <w:vAlign w:val="center"/>
          </w:tcPr>
          <w:p>
            <w:pPr>
              <w:jc w:val="center"/>
            </w:pPr>
            <w:r>
              <w:rPr>
                <w:b/>
                <w:bCs/>
                <w:color w:val="FFFFFF"/>
                <w:sz w:val="20"/>
                <w:szCs w:val="20"/>
              </w:rPr>
              <w:t xml:space="preserve">Etapa</w:t>
            </w:r>
          </w:p>
        </w:tc>
        <w:tc>
          <w:tcPr>
            <w:tcW w:type="dxa" w:w="3400"/>
            <w:shd w:fill="1F3B57" w:val="clear"/>
            <w:tcMar>
              <w:top w:type="dxa" w:w="100"/>
              <w:left w:type="dxa" w:w="120"/>
              <w:bottom w:type="dxa" w:w="100"/>
              <w:right w:type="dxa" w:w="120"/>
            </w:tcMar>
            <w:vAlign w:val="center"/>
          </w:tcPr>
          <w:p>
            <w:pPr>
              <w:jc w:val="center"/>
            </w:pPr>
            <w:r>
              <w:rPr>
                <w:b/>
                <w:bCs/>
                <w:color w:val="FFFFFF"/>
                <w:sz w:val="20"/>
                <w:szCs w:val="20"/>
              </w:rPr>
              <w:t xml:space="preserve">Responsable principal</w:t>
            </w:r>
          </w:p>
        </w:tc>
        <w:tc>
          <w:tcPr>
            <w:tcW w:type="dxa" w:w="3400"/>
            <w:shd w:fill="1F3B57" w:val="clear"/>
            <w:tcMar>
              <w:top w:type="dxa" w:w="100"/>
              <w:left w:type="dxa" w:w="120"/>
              <w:bottom w:type="dxa" w:w="100"/>
              <w:right w:type="dxa" w:w="120"/>
            </w:tcMar>
            <w:vAlign w:val="center"/>
          </w:tcPr>
          <w:p>
            <w:pPr>
              <w:jc w:val="center"/>
            </w:pPr>
            <w:r>
              <w:rPr>
                <w:b/>
                <w:bCs/>
                <w:color w:val="FFFFFF"/>
                <w:sz w:val="20"/>
                <w:szCs w:val="20"/>
              </w:rPr>
              <w:t xml:space="preserve">Producto / entregable</w:t>
            </w:r>
          </w:p>
        </w:tc>
      </w:tr>
      <w:tr>
        <w:tc>
          <w:tcPr>
            <w:tcW w:type="dxa" w:w="3200"/>
            <w:shd w:fill="F2F2F2" w:val="clear"/>
            <w:tcMar>
              <w:top w:type="dxa" w:w="100"/>
              <w:left w:type="dxa" w:w="120"/>
              <w:bottom w:type="dxa" w:w="100"/>
              <w:right w:type="dxa" w:w="120"/>
            </w:tcMar>
            <w:vAlign w:val="center"/>
          </w:tcPr>
          <w:p>
            <w:pPr>
              <w:jc w:val="left"/>
            </w:pPr>
            <w:r>
              <w:rPr>
                <w:b w:val="false"/>
                <w:bCs w:val="false"/>
                <w:sz w:val="20"/>
                <w:szCs w:val="20"/>
              </w:rPr>
              <w:t xml:space="preserve">1. Diseño y validación</w:t>
            </w:r>
          </w:p>
        </w:tc>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DRFF / Unidad Jurídica / Comité Técnico FIPASAHEM</w:t>
            </w:r>
          </w:p>
        </w:tc>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Proyecto de Reglas de Operación validado</w:t>
            </w:r>
          </w:p>
        </w:tc>
      </w:tr>
      <w:tr>
        <w:tc>
          <w:tcPr>
            <w:tcW w:type="dxa" w:w="3200"/>
            <w:shd w:fill="FFFFFF" w:val="clear"/>
            <w:tcMar>
              <w:top w:type="dxa" w:w="100"/>
              <w:left w:type="dxa" w:w="120"/>
              <w:bottom w:type="dxa" w:w="100"/>
              <w:right w:type="dxa" w:w="120"/>
            </w:tcMar>
            <w:vAlign w:val="center"/>
          </w:tcPr>
          <w:p>
            <w:pPr>
              <w:jc w:val="left"/>
            </w:pPr>
            <w:r>
              <w:rPr>
                <w:b w:val="false"/>
                <w:bCs w:val="false"/>
                <w:sz w:val="20"/>
                <w:szCs w:val="20"/>
              </w:rPr>
              <w:t xml:space="preserve">2. Publicación de Convocatoria</w:t>
            </w:r>
          </w:p>
        </w:tc>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Dirección General de PROBOSQUE</w:t>
            </w:r>
          </w:p>
        </w:tc>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Convocatoria en Gaceta del Gobierno</w:t>
            </w:r>
          </w:p>
        </w:tc>
      </w:tr>
      <w:tr>
        <w:tc>
          <w:tcPr>
            <w:tcW w:type="dxa" w:w="3200"/>
            <w:shd w:fill="F2F2F2" w:val="clear"/>
            <w:tcMar>
              <w:top w:type="dxa" w:w="100"/>
              <w:left w:type="dxa" w:w="120"/>
              <w:bottom w:type="dxa" w:w="100"/>
              <w:right w:type="dxa" w:w="120"/>
            </w:tcMar>
            <w:vAlign w:val="center"/>
          </w:tcPr>
          <w:p>
            <w:pPr>
              <w:jc w:val="left"/>
            </w:pPr>
            <w:r>
              <w:rPr>
                <w:b w:val="false"/>
                <w:bCs w:val="false"/>
                <w:sz w:val="20"/>
                <w:szCs w:val="20"/>
              </w:rPr>
              <w:t xml:space="preserve">3. Recepción de solicitudes</w:t>
            </w:r>
          </w:p>
        </w:tc>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Delegaciones Regionales Forestales</w:t>
            </w:r>
          </w:p>
        </w:tc>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Expedientes de Solicitud Única (FO-PB-501/502)</w:t>
            </w:r>
          </w:p>
        </w:tc>
      </w:tr>
      <w:tr>
        <w:tc>
          <w:tcPr>
            <w:tcW w:type="dxa" w:w="3200"/>
            <w:shd w:fill="FFFFFF" w:val="clear"/>
            <w:tcMar>
              <w:top w:type="dxa" w:w="100"/>
              <w:left w:type="dxa" w:w="120"/>
              <w:bottom w:type="dxa" w:w="100"/>
              <w:right w:type="dxa" w:w="120"/>
            </w:tcMar>
            <w:vAlign w:val="center"/>
          </w:tcPr>
          <w:p>
            <w:pPr>
              <w:jc w:val="left"/>
            </w:pPr>
            <w:r>
              <w:rPr>
                <w:b w:val="false"/>
                <w:bCs w:val="false"/>
                <w:sz w:val="20"/>
                <w:szCs w:val="20"/>
              </w:rPr>
              <w:t xml:space="preserve">4. Dictamen y asignación</w:t>
            </w:r>
          </w:p>
        </w:tc>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Comité de Admisión y Seguimiento</w:t>
            </w:r>
          </w:p>
        </w:tc>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Listados de solicitudes factibles / no factibles / espera</w:t>
            </w:r>
          </w:p>
        </w:tc>
      </w:tr>
      <w:tr>
        <w:tc>
          <w:tcPr>
            <w:tcW w:type="dxa" w:w="3200"/>
            <w:shd w:fill="F2F2F2" w:val="clear"/>
            <w:tcMar>
              <w:top w:type="dxa" w:w="100"/>
              <w:left w:type="dxa" w:w="120"/>
              <w:bottom w:type="dxa" w:w="100"/>
              <w:right w:type="dxa" w:w="120"/>
            </w:tcMar>
            <w:vAlign w:val="center"/>
          </w:tcPr>
          <w:p>
            <w:pPr>
              <w:jc w:val="left"/>
            </w:pPr>
            <w:r>
              <w:rPr>
                <w:b w:val="false"/>
                <w:bCs w:val="false"/>
                <w:sz w:val="20"/>
                <w:szCs w:val="20"/>
              </w:rPr>
              <w:t xml:space="preserve">5. Formalización</w:t>
            </w:r>
          </w:p>
        </w:tc>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Beneficiario y PROBOSQUE</w:t>
            </w:r>
          </w:p>
        </w:tc>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Contrato de Adhesión firmado</w:t>
            </w:r>
          </w:p>
        </w:tc>
      </w:tr>
      <w:tr>
        <w:tc>
          <w:tcPr>
            <w:tcW w:type="dxa" w:w="3200"/>
            <w:shd w:fill="FFFFFF" w:val="clear"/>
            <w:tcMar>
              <w:top w:type="dxa" w:w="100"/>
              <w:left w:type="dxa" w:w="120"/>
              <w:bottom w:type="dxa" w:w="100"/>
              <w:right w:type="dxa" w:w="120"/>
            </w:tcMar>
            <w:vAlign w:val="center"/>
          </w:tcPr>
          <w:p>
            <w:pPr>
              <w:jc w:val="left"/>
            </w:pPr>
            <w:r>
              <w:rPr>
                <w:b w:val="false"/>
                <w:bCs w:val="false"/>
                <w:sz w:val="20"/>
                <w:szCs w:val="20"/>
              </w:rPr>
              <w:t xml:space="preserve">6. Primera ministración y entrega de planta</w:t>
            </w:r>
          </w:p>
        </w:tc>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PROBOSQUE (finanzas) / Viveros forestales</w:t>
            </w:r>
          </w:p>
        </w:tc>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70% del estímulo + planta forestal</w:t>
            </w:r>
          </w:p>
        </w:tc>
      </w:tr>
      <w:tr>
        <w:tc>
          <w:tcPr>
            <w:tcW w:type="dxa" w:w="3200"/>
            <w:shd w:fill="F2F2F2" w:val="clear"/>
            <w:tcMar>
              <w:top w:type="dxa" w:w="100"/>
              <w:left w:type="dxa" w:w="120"/>
              <w:bottom w:type="dxa" w:w="100"/>
              <w:right w:type="dxa" w:w="120"/>
            </w:tcMar>
            <w:vAlign w:val="center"/>
          </w:tcPr>
          <w:p>
            <w:pPr>
              <w:jc w:val="left"/>
            </w:pPr>
            <w:r>
              <w:rPr>
                <w:b w:val="false"/>
                <w:bCs w:val="false"/>
                <w:sz w:val="20"/>
                <w:szCs w:val="20"/>
              </w:rPr>
              <w:t xml:space="preserve">7. Ejecución en campo</w:t>
            </w:r>
          </w:p>
        </w:tc>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Beneficiarios, personal técnico, brigadistas, municipios, voluntariado</w:t>
            </w:r>
          </w:p>
        </w:tc>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Reforestación, obras de conservación, presas de gavión</w:t>
            </w:r>
          </w:p>
        </w:tc>
      </w:tr>
      <w:tr>
        <w:tc>
          <w:tcPr>
            <w:tcW w:type="dxa" w:w="3200"/>
            <w:shd w:fill="FFFFFF" w:val="clear"/>
            <w:tcMar>
              <w:top w:type="dxa" w:w="100"/>
              <w:left w:type="dxa" w:w="120"/>
              <w:bottom w:type="dxa" w:w="100"/>
              <w:right w:type="dxa" w:w="120"/>
            </w:tcMar>
            <w:vAlign w:val="center"/>
          </w:tcPr>
          <w:p>
            <w:pPr>
              <w:jc w:val="left"/>
            </w:pPr>
            <w:r>
              <w:rPr>
                <w:b w:val="false"/>
                <w:bCs w:val="false"/>
                <w:sz w:val="20"/>
                <w:szCs w:val="20"/>
              </w:rPr>
              <w:t xml:space="preserve">8. Verificación técnica</w:t>
            </w:r>
          </w:p>
        </w:tc>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Personal técnico de las Delegaciones Regionales</w:t>
            </w:r>
          </w:p>
        </w:tc>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Reporte de sobrevivencia y cumplimiento</w:t>
            </w:r>
          </w:p>
        </w:tc>
      </w:tr>
      <w:tr>
        <w:tc>
          <w:tcPr>
            <w:tcW w:type="dxa" w:w="3200"/>
            <w:shd w:fill="F2F2F2" w:val="clear"/>
            <w:tcMar>
              <w:top w:type="dxa" w:w="100"/>
              <w:left w:type="dxa" w:w="120"/>
              <w:bottom w:type="dxa" w:w="100"/>
              <w:right w:type="dxa" w:w="120"/>
            </w:tcMar>
            <w:vAlign w:val="center"/>
          </w:tcPr>
          <w:p>
            <w:pPr>
              <w:jc w:val="left"/>
            </w:pPr>
            <w:r>
              <w:rPr>
                <w:b w:val="false"/>
                <w:bCs w:val="false"/>
                <w:sz w:val="20"/>
                <w:szCs w:val="20"/>
              </w:rPr>
              <w:t xml:space="preserve">9. Segunda ministración</w:t>
            </w:r>
          </w:p>
        </w:tc>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Comité de Admisión y Seguimiento / PROBOSQUE</w:t>
            </w:r>
          </w:p>
        </w:tc>
        <w:tc>
          <w:tcPr>
            <w:tcW w:type="dxa" w:w="3400"/>
            <w:shd w:fill="F2F2F2" w:val="clear"/>
            <w:tcMar>
              <w:top w:type="dxa" w:w="100"/>
              <w:left w:type="dxa" w:w="120"/>
              <w:bottom w:type="dxa" w:w="100"/>
              <w:right w:type="dxa" w:w="120"/>
            </w:tcMar>
            <w:vAlign w:val="center"/>
          </w:tcPr>
          <w:p>
            <w:pPr>
              <w:jc w:val="left"/>
            </w:pPr>
            <w:r>
              <w:rPr>
                <w:b w:val="false"/>
                <w:bCs w:val="false"/>
                <w:sz w:val="20"/>
                <w:szCs w:val="20"/>
              </w:rPr>
              <w:t xml:space="preserve">30% restante del estímulo</w:t>
            </w:r>
          </w:p>
        </w:tc>
      </w:tr>
      <w:tr>
        <w:tc>
          <w:tcPr>
            <w:tcW w:type="dxa" w:w="3200"/>
            <w:shd w:fill="FFFFFF" w:val="clear"/>
            <w:tcMar>
              <w:top w:type="dxa" w:w="100"/>
              <w:left w:type="dxa" w:w="120"/>
              <w:bottom w:type="dxa" w:w="100"/>
              <w:right w:type="dxa" w:w="120"/>
            </w:tcMar>
            <w:vAlign w:val="center"/>
          </w:tcPr>
          <w:p>
            <w:pPr>
              <w:jc w:val="left"/>
            </w:pPr>
            <w:r>
              <w:rPr>
                <w:b w:val="false"/>
                <w:bCs w:val="false"/>
                <w:sz w:val="20"/>
                <w:szCs w:val="20"/>
              </w:rPr>
              <w:t xml:space="preserve">10. Cierre y reporte</w:t>
            </w:r>
          </w:p>
        </w:tc>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PROBOSQUE / SeCampo</w:t>
            </w:r>
          </w:p>
        </w:tc>
        <w:tc>
          <w:tcPr>
            <w:tcW w:type="dxa" w:w="3400"/>
            <w:shd w:fill="FFFFFF" w:val="clear"/>
            <w:tcMar>
              <w:top w:type="dxa" w:w="100"/>
              <w:left w:type="dxa" w:w="120"/>
              <w:bottom w:type="dxa" w:w="100"/>
              <w:right w:type="dxa" w:w="120"/>
            </w:tcMar>
            <w:vAlign w:val="center"/>
          </w:tcPr>
          <w:p>
            <w:pPr>
              <w:jc w:val="left"/>
            </w:pPr>
            <w:r>
              <w:rPr>
                <w:b w:val="false"/>
                <w:bCs w:val="false"/>
                <w:sz w:val="20"/>
                <w:szCs w:val="20"/>
              </w:rPr>
              <w:t xml:space="preserve">Listado de Beneficiarios Cierre e informe de resultados</w:t>
            </w:r>
          </w:p>
        </w:tc>
      </w:tr>
    </w:tbl>
    <w:p>
      <w:pPr>
        <w:pStyle w:val="Heading1"/>
        <w:pBdr>
          <w:bottom w:val="single" w:color="2E7D32" w:sz="8" w:space="4"/>
        </w:pBdr>
        <w:spacing w:after="200" w:before="400"/>
      </w:pPr>
      <w:r>
        <w:rPr>
          <w:b/>
          <w:bCs/>
          <w:color w:val="1F3B57"/>
          <w:sz w:val="30"/>
          <w:szCs w:val="30"/>
        </w:rPr>
        <w:t xml:space="preserve">7. Síntesis</w:t>
      </w:r>
    </w:p>
    <w:p>
      <w:pPr>
        <w:spacing w:after="160" w:line="300"/>
        <w:jc w:val="both"/>
      </w:pPr>
      <w:r>
        <w:rPr>
          <w:sz w:val="22"/>
          <w:szCs w:val="22"/>
        </w:rPr>
        <w:t xml:space="preserve">En conjunto, el programa —bajo sus distintas denominaciones (Reforestando EDOMÉX, Restauración Ecológica de Ecosistemas Forestales, Restauración Hidrológico-Forestal)— constituye el principal instrumento estatal de estímulos económicos para la restauración de cuencas forestales degradadas en el Estado de México. Combina recursos económicos, planta forestal gratuita y asistencia técnica, opera a través de una red de nueve Delegaciones Regionales Forestales y 17 viveros, se norma mediante Reglas de Operación anuales avaladas por un Comité de Admisión y Seguimiento, y su ejecución en campo depende de la corresponsabilidad entre PROBOSQUE, gobiernos municipales, núcleos agrarios y la sociedad civil. Su ciclo anual —convocatoria (enero-febrero), operación (marzo-septiembre) y cierre (octubre-diciembre)— se repite cada ejercicio fiscal, ajustando montos, vertientes y áreas elegibles conforme a la disponibilidad presupuestal y a la cartografía de zonas prioritarias.</w:t>
      </w:r>
    </w:p>
    <w:p>
      <w:r>
        <w:br w:type="page"/>
      </w:r>
    </w:p>
    <w:p>
      <w:pPr>
        <w:pStyle w:val="Heading1"/>
        <w:pBdr>
          <w:bottom w:val="single" w:color="2E7D32" w:sz="8" w:space="4"/>
        </w:pBdr>
        <w:spacing w:after="200" w:before="400"/>
      </w:pPr>
      <w:r>
        <w:rPr>
          <w:b/>
          <w:bCs/>
          <w:color w:val="1F3B57"/>
          <w:sz w:val="30"/>
          <w:szCs w:val="30"/>
        </w:rPr>
        <w:t xml:space="preserve">8. Referencias</w:t>
      </w:r>
    </w:p>
    <w:p>
      <w:pPr>
        <w:spacing w:after="200"/>
        <w:jc w:val="both"/>
      </w:pPr>
      <w:r>
        <w:rPr>
          <w:i/>
          <w:iCs/>
          <w:color w:val="666666"/>
          <w:sz w:val="20"/>
          <w:szCs w:val="20"/>
        </w:rPr>
        <w:t xml:space="preserve">Todas las fuentes fueron consultadas en septiembre de 2026. Las citas en el cuerpo del documento remiten a esta lista mediante números entre corchetes.</w:t>
      </w:r>
    </w:p>
    <w:p>
      <w:pPr>
        <w:spacing w:after="160"/>
        <w:ind w:left="431" w:hanging="431"/>
        <w:jc w:val="both"/>
      </w:pPr>
      <w:r>
        <w:rPr>
          <w:sz w:val="21"/>
          <w:szCs w:val="21"/>
        </w:rPr>
        <w:t xml:space="preserve">[1] PROBOSQUE. "Reforestando EDOMÉX". Gobierno del Estado de México. Disponible en: http://probosque.edomex.gob.mx/reforestando_edomex</w:t>
      </w:r>
    </w:p>
    <w:p>
      <w:pPr>
        <w:spacing w:after="160"/>
        <w:ind w:left="431" w:hanging="431"/>
        <w:jc w:val="both"/>
      </w:pPr>
      <w:r>
        <w:rPr>
          <w:sz w:val="21"/>
          <w:szCs w:val="21"/>
        </w:rPr>
        <w:t xml:space="preserve">[2] PROBOSQUE. "Convocatorias". Gobierno del Estado de México. Disponible en: https://probosque.edomex.gob.mx/index.php/convocatorias</w:t>
      </w:r>
    </w:p>
    <w:p>
      <w:pPr>
        <w:spacing w:after="160"/>
        <w:ind w:left="431" w:hanging="431"/>
        <w:jc w:val="both"/>
      </w:pPr>
      <w:r>
        <w:rPr>
          <w:sz w:val="21"/>
          <w:szCs w:val="21"/>
        </w:rPr>
        <w:t xml:space="preserve">[3] Secretaría del Campo, Estado de México. "Emite GEM Reglas de Operación de los programas de PROBOSQUE del ejercicio fiscal 202…". Disponible en: https://secampo.edomex.gob.mx/eventos-comunicados/emite-gem-reglas-operacion-programas-probosque-del-ejercicio-fiscal-202</w:t>
      </w:r>
    </w:p>
    <w:p>
      <w:pPr>
        <w:spacing w:after="160"/>
        <w:ind w:left="431" w:hanging="431"/>
        <w:jc w:val="both"/>
      </w:pPr>
      <w:r>
        <w:rPr>
          <w:sz w:val="21"/>
          <w:szCs w:val="21"/>
        </w:rPr>
        <w:t xml:space="preserve">[4] PROBOSQUE. "Reforestando EDOMÉX" (sitio espejo). Disponible en: http://probosquedesa.edomex.gob.mx/reforestando_edomex</w:t>
      </w:r>
    </w:p>
    <w:p>
      <w:pPr>
        <w:spacing w:after="160"/>
        <w:ind w:left="431" w:hanging="431"/>
        <w:jc w:val="both"/>
      </w:pPr>
      <w:r>
        <w:rPr>
          <w:sz w:val="21"/>
          <w:szCs w:val="21"/>
        </w:rPr>
        <w:t xml:space="preserve">[5] Gobierno del Estado de México. Reglas de Operación del Programa Restauración Ecológica de Ecosistemas Forestales, ejercicio 2025. CEMER. Disponible en: https://cemer.edomex.gob.mx/sites/cemer.edomex.gob.mx/files/files/AIR%202025/018/RO%20RESTAURACI%C3%93N%20ECOL%C3%93GICA%20DE%20ECOSISTEMAS%20FORESTALES_final_07_12_2024.pdf</w:t>
      </w:r>
    </w:p>
    <w:p>
      <w:pPr>
        <w:spacing w:after="160"/>
        <w:ind w:left="431" w:hanging="431"/>
        <w:jc w:val="both"/>
      </w:pPr>
      <w:r>
        <w:rPr>
          <w:sz w:val="21"/>
          <w:szCs w:val="21"/>
        </w:rPr>
        <w:t xml:space="preserve">[6] eje central. "Probosque abre Programas Forestales 2026 con apoyos de hasta 165 mil pesos en Edomex", 14 de febrero de 2026. Disponible en: https://www.ejecentral.com.mx/nuestro-eje/probosque-abre-programas-forestales-2026-con-apoyos-de-hasta-165-mil-pesos-en-edomex-quienes-pueden-recibir-el-apoyo-y-como-registrarse</w:t>
      </w:r>
    </w:p>
    <w:p>
      <w:pPr>
        <w:spacing w:after="160"/>
        <w:ind w:left="431" w:hanging="431"/>
        <w:jc w:val="both"/>
      </w:pPr>
      <w:r>
        <w:rPr>
          <w:sz w:val="21"/>
          <w:szCs w:val="21"/>
        </w:rPr>
        <w:t xml:space="preserve">[7] Miescaparate. "Probosque cumple 36 años protegiendo los bosques del Estado de México y estos son los resultados". Disponible en: https://miescaparate.com.mx/probosque-36-anos-bosques-estado-de-mexico/</w:t>
      </w:r>
    </w:p>
    <w:p>
      <w:pPr>
        <w:spacing w:after="160"/>
        <w:ind w:left="431" w:hanging="431"/>
        <w:jc w:val="both"/>
      </w:pPr>
      <w:r>
        <w:rPr>
          <w:sz w:val="21"/>
          <w:szCs w:val="21"/>
        </w:rPr>
        <w:t xml:space="preserve">[8] Diario Portal. "Restauración hidrológica-forestal en Edomex va más allá de plantar árboles: Probosque". Disponible en: https://diarioportal.com/medio-ambiente/restauracion-hidrologicaforestal-en-edomex-va-mas-alla-de-plantar-arboles-probosque</w:t>
      </w:r>
    </w:p>
    <w:p>
      <w:pPr>
        <w:spacing w:after="160"/>
        <w:ind w:left="431" w:hanging="431"/>
        <w:jc w:val="both"/>
      </w:pPr>
      <w:r>
        <w:rPr>
          <w:sz w:val="21"/>
          <w:szCs w:val="21"/>
        </w:rPr>
        <w:t xml:space="preserve">[9] Diario Amanecer. "Probosque impulsa restauración forestal en Edomex". Disponible en: https://diarioamanecer.com.mx/probosque-impulsa-restauracion-forestal-en-edomex/</w:t>
      </w:r>
    </w:p>
    <w:p>
      <w:pPr>
        <w:spacing w:after="160"/>
        <w:ind w:left="431" w:hanging="431"/>
        <w:jc w:val="both"/>
      </w:pPr>
      <w:r>
        <w:rPr>
          <w:sz w:val="21"/>
          <w:szCs w:val="21"/>
        </w:rPr>
        <w:t xml:space="preserve">[10] El Valle. "Preparan en Temoaya restauración hidrológico-forestal para 2026". Disponible en: https://elvalle.com.mx/2026/06/04/preparan-en-temoaya-restauracion-hidrologico-forestal-para-2026/</w:t>
      </w:r>
    </w:p>
    <w:p>
      <w:pPr>
        <w:spacing w:after="160"/>
        <w:ind w:left="431" w:hanging="431"/>
        <w:jc w:val="both"/>
      </w:pPr>
      <w:r>
        <w:rPr>
          <w:sz w:val="21"/>
          <w:szCs w:val="21"/>
        </w:rPr>
        <w:t xml:space="preserve">[11] Gobierno del Estado de México. Gaceta del Gobierno, 27 de enero de 2026, Convocatoria de los Programas Pago por Servicios Ambientales Hidrológicos, Restauración Hidrológico-Forestal, Capturando Carbono, Plantaciones Sustentables y Manejo Forestal Sustentable. Disponible en: https://legislacion.edomex.gob.mx/sites/legislacion.edomex.gob.mx/files/files/pdf/gct/2026/enero/ene271/ene271c.pdf y ene271h.pdf</w:t>
      </w:r>
    </w:p>
    <w:p>
      <w:pPr>
        <w:spacing w:after="160"/>
        <w:ind w:left="431" w:hanging="431"/>
        <w:jc w:val="both"/>
      </w:pPr>
      <w:r>
        <w:rPr>
          <w:sz w:val="21"/>
          <w:szCs w:val="21"/>
        </w:rPr>
        <w:t xml:space="preserve">[12] Comunicadores.mx. "Van por Restauración Hidrológico-Forestal 2026 en Edomex", 4 de junio de 2026. Disponible en: https://comunicadores.mx/2026/06/04/van-por-restauracion-hidrologico-forestal-2026-en-edomex/</w:t>
      </w:r>
    </w:p>
    <w:p>
      <w:pPr>
        <w:spacing w:after="160"/>
        <w:ind w:left="431" w:hanging="431"/>
        <w:jc w:val="both"/>
      </w:pPr>
      <w:r>
        <w:rPr>
          <w:sz w:val="21"/>
          <w:szCs w:val="21"/>
        </w:rPr>
        <w:t xml:space="preserve">[13] Eje19. "Inicia Campaña de Restauración Hidrológico-Forestal 2026 para recuperar ecosistemas, captar agua y prevenir inundaciones". Disponible en: https://eje19.com.mx/inicia-campana-de-restauracion-hidrologico-forestal-2026-para-recuperar-ecosistemas-captar-agua-y-prevenir-inundaciones/</w:t>
      </w:r>
    </w:p>
    <w:p>
      <w:pPr>
        <w:spacing w:after="160"/>
        <w:ind w:left="431" w:hanging="431"/>
        <w:jc w:val="both"/>
      </w:pPr>
      <w:r>
        <w:rPr>
          <w:sz w:val="21"/>
          <w:szCs w:val="21"/>
        </w:rPr>
        <w:t xml:space="preserve">[14] Edomex al Día. "Lanzan SeCampo y Probosque programas de asesoría, restauración y manejo sostenible de zonas forestales del Estado de México", 9 de febrero de 2025. Disponible en: https://edomexaldia.com/lanzan-secampo-y-probosque-programas-de-asesoria-restauracion-y-manejo-sostenible-de-zonas-forestales-del-estado-de-mexico/</w:t>
      </w:r>
    </w:p>
    <w:p>
      <w:pPr>
        <w:spacing w:after="160"/>
        <w:ind w:left="431" w:hanging="431"/>
        <w:jc w:val="both"/>
      </w:pPr>
      <w:r>
        <w:rPr>
          <w:sz w:val="21"/>
          <w:szCs w:val="21"/>
        </w:rPr>
        <w:t xml:space="preserve">[15] La Noticia Es. "GEM inicia Campaña de Restauración Hidrológico-Forestal 2026". Disponible en: https://www.lanoticiaes.com/post/gem-inicia-campa%C3%B1a-de-restauraci%C3%B3n-hidrol%C3%B3gico-forestal-2026</w:t>
      </w:r>
    </w:p>
    <w:p>
      <w:pPr>
        <w:spacing w:after="160"/>
        <w:ind w:left="431" w:hanging="431"/>
        <w:jc w:val="both"/>
      </w:pPr>
      <w:r>
        <w:rPr>
          <w:sz w:val="21"/>
          <w:szCs w:val="21"/>
        </w:rPr>
        <w:t xml:space="preserve">[16] PROBOSQUE. "Reforestando EDOMÉX", sección de cobertura municipal y municipios prioritarios de presas de gavión (Calimaya, Tenango del Valle, Toluca y Zinacantepec). Disponible en: http://probosque.edomex.gob.mx/reforestando_edomex</w:t>
      </w:r>
    </w:p>
    <w:p>
      <w:pPr>
        <w:spacing w:after="160"/>
        <w:ind w:left="431" w:hanging="431"/>
        <w:jc w:val="both"/>
      </w:pPr>
      <w:r>
        <w:rPr>
          <w:sz w:val="21"/>
          <w:szCs w:val="21"/>
        </w:rPr>
        <w:t xml:space="preserve">[17] PROBOSQUE. "Campaña Estatal de Restauración Hidrológico Forestal 2025" — integración del Comité Estatal de Restauración Forestal. Disponible en: http://probosque.edomex.gob.mx/per</w:t>
      </w:r>
    </w:p>
    <w:p>
      <w:pPr>
        <w:spacing w:after="160"/>
        <w:ind w:left="431" w:hanging="431"/>
        <w:jc w:val="both"/>
      </w:pPr>
      <w:r>
        <w:rPr>
          <w:sz w:val="21"/>
          <w:szCs w:val="21"/>
        </w:rPr>
        <w:t xml:space="preserve">[18] PROBOSQUE. "Delegaciones regionales forestales". Disponible en: http://probosque.edomex.gob.mx/delegaciones_forestales</w:t>
      </w:r>
    </w:p>
    <w:p>
      <w:pPr>
        <w:spacing w:after="160"/>
        <w:ind w:left="431" w:hanging="431"/>
        <w:jc w:val="both"/>
      </w:pPr>
      <w:r>
        <w:rPr>
          <w:sz w:val="21"/>
          <w:szCs w:val="21"/>
        </w:rPr>
        <w:t xml:space="preserve">[19] PROBOSQUE. "Viveros Forestales". Disponible en: http://probosque.edomex.gob.mx/viveros_forestales</w:t>
      </w:r>
    </w:p>
    <w:p>
      <w:pPr>
        <w:spacing w:after="160"/>
        <w:ind w:left="431" w:hanging="431"/>
        <w:jc w:val="both"/>
      </w:pPr>
      <w:r>
        <w:rPr>
          <w:sz w:val="21"/>
          <w:szCs w:val="21"/>
        </w:rPr>
        <w:t xml:space="preserve">[20] PROBOSQUE. "Directorio" (Delegadas y Delegados Regionales Forestales). Disponible en: http://probosque.edomex.gob.mx/directorio</w:t>
      </w:r>
    </w:p>
    <w:p>
      <w:pPr>
        <w:spacing w:after="160"/>
        <w:ind w:left="431" w:hanging="431"/>
        <w:jc w:val="both"/>
      </w:pPr>
      <w:r>
        <w:rPr>
          <w:sz w:val="21"/>
          <w:szCs w:val="21"/>
        </w:rPr>
        <w:t xml:space="preserve">[21] Agencia de Noticias MX. "Cuenta Probosque con 54 brigadas para combatir incendios forestales". Disponible en: https://www.agenciadenoticiasmx.com/2024/04/12/cuenta-probosque-con-54-brigadas-para-combatir-incendios-forestales/</w:t>
      </w:r>
    </w:p>
    <w:p>
      <w:pPr>
        <w:spacing w:after="160"/>
        <w:ind w:left="431" w:hanging="431"/>
        <w:jc w:val="both"/>
      </w:pPr>
      <w:r>
        <w:rPr>
          <w:sz w:val="21"/>
          <w:szCs w:val="21"/>
        </w:rPr>
        <w:t xml:space="preserve">[22] Liberal Metropolitano. "Protección de bosques para las nuevas generaciones, Edoméx instala Comités de Manejo del Fuego". Disponible en: https://www.liberalmetropolitano.com/2026/03/proteccion-de-bosques-para-las-nuevas.html</w:t>
      </w:r>
    </w:p>
    <w:p>
      <w:pPr>
        <w:spacing w:after="160"/>
        <w:ind w:left="431" w:hanging="431"/>
        <w:jc w:val="both"/>
      </w:pPr>
      <w:r>
        <w:rPr>
          <w:sz w:val="21"/>
          <w:szCs w:val="21"/>
        </w:rPr>
        <w:t xml:space="preserve">[23] Plana Mayor. "Semana de los Bosques arranca con labores de rescate ambiental en nueve regiones del Edomex". Disponible en: https://planamayor.com.mx/semana-de-los-bosques-arranca-con-labores-de-rescate-ambiental-en-nueve-regiones-del-edomex/</w:t>
      </w:r>
    </w:p>
    <w:p>
      <w:pPr>
        <w:spacing w:after="160"/>
        <w:ind w:left="431" w:hanging="431"/>
        <w:jc w:val="both"/>
      </w:pPr>
      <w:r>
        <w:rPr>
          <w:sz w:val="21"/>
          <w:szCs w:val="21"/>
        </w:rPr>
        <w:t xml:space="preserve">[24] La Noticia Es. "Celebra Probosque 36 años de servicio a favor de los bosques mexiquenses". Disponible en: https://www.lanoticiaes.com/post/celebra-probosque-36-a%C3%B1os-de-servicio-a-favor-de-los-bosques-mexiquenses</w:t>
      </w:r>
    </w:p>
    <w:p>
      <w:pPr>
        <w:spacing w:after="160"/>
        <w:ind w:left="431" w:hanging="431"/>
        <w:jc w:val="both"/>
      </w:pPr>
      <w:r>
        <w:rPr>
          <w:sz w:val="21"/>
          <w:szCs w:val="21"/>
        </w:rPr>
        <w:t xml:space="preserve">[25] Orden Jurídico Nacional. Decreto de creación del Programa de Reforestación y Restauración Integral de Microcuencas (PRORRIM), SEDAGRO, Estado de México, 2010. Disponible en: http://www.ordenjuridico.gob.mx/Documentos/Estatal/Estado%20de%20Mexico/wo48440.pdf</w:t>
      </w:r>
    </w:p>
    <w:p>
      <w:pPr>
        <w:spacing w:before="400"/>
      </w:pPr>
      <w:r>
        <w:rPr>
          <w:b/>
          <w:bCs/>
          <w:color w:val="666666"/>
          <w:sz w:val="20"/>
          <w:szCs w:val="20"/>
        </w:rPr>
        <w:t xml:space="preserve">Nota metodológica: </w:t>
      </w:r>
      <w:r>
        <w:rPr>
          <w:i/>
          <w:iCs/>
          <w:color w:val="666666"/>
          <w:sz w:val="20"/>
          <w:szCs w:val="20"/>
        </w:rPr>
        <w:t xml:space="preserve">este documento fue elaborado mediante búsqueda y contraste de fuentes oficiales (Gaceta del Gobierno del Estado de México, sitio web de PROBOSQUE y de la Secretaría del Campo) y fuentes periodísticas especializadas en la cobertura de programas sociales y ambientales del Estado de México. Debido a que el programa ha cambiado de nombre y de estructura de vertientes entre 2019 y 2026, se recomienda verificar la Convocatoria y Reglas de Operación vigentes del ejercicio fiscal en curso directamente en probosque.edomex.gob.mx/convocatorias antes de iniciar cualquier trámite.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PROBOSQUE — Restauración Hidrológico-Forestal / Reforestando EDOMÉX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2026-09-12T21:40:01.193Z</dcterms:created>
  <dcterms:modified xsi:type="dcterms:W3CDTF">2026-09-12T21:40:01.205Z</dcterms:modified>
</cp:coreProperties>
</file>

<file path=docProps/custom.xml><?xml version="1.0" encoding="utf-8"?>
<Properties xmlns="http://schemas.openxmlformats.org/officeDocument/2006/custom-properties" xmlns:vt="http://schemas.openxmlformats.org/officeDocument/2006/docPropsVTypes"/>
</file>