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2E5E3E"/>
          <w:sz w:val="22"/>
          <w:szCs w:val="22"/>
        </w:rPr>
        <w:t xml:space="preserve">GOBIERNO DEL ESTADO DE MÉXICO</w:t>
      </w:r>
    </w:p>
    <w:p>
      <w:pPr>
        <w:spacing w:after="400"/>
        <w:jc w:val="center"/>
      </w:pPr>
      <w:r>
        <w:rPr>
          <w:color w:val="555555"/>
          <w:sz w:val="20"/>
          <w:szCs w:val="20"/>
        </w:rPr>
        <w:t xml:space="preserve">Secretaría del Campo · Protectora de Bosques del Estado de México (PROBOSQUE)</w:t>
      </w:r>
    </w:p>
    <w:p>
      <w:pPr>
        <w:spacing w:after="200" w:before="400"/>
        <w:jc w:val="center"/>
      </w:pPr>
      <w:r>
        <w:rPr>
          <w:b/>
          <w:bCs/>
          <w:color w:val="B08D57"/>
          <w:sz w:val="24"/>
          <w:szCs w:val="24"/>
        </w:rPr>
        <w:t xml:space="preserve">INFORME DE INVESTIGACIÓN</w:t>
      </w:r>
    </w:p>
    <w:p>
      <w:pPr>
        <w:spacing w:after="200"/>
        <w:jc w:val="center"/>
      </w:pPr>
      <w:r>
        <w:rPr>
          <w:b/>
          <w:bCs/>
          <w:color w:val="1F3B57"/>
          <w:sz w:val="36"/>
          <w:szCs w:val="36"/>
        </w:rPr>
        <w:t xml:space="preserve">Programas de Apoyo de Restauración y Manejo Forestal Sustentable de PROBOSQUE</w:t>
      </w:r>
    </w:p>
    <w:p>
      <w:pPr>
        <w:spacing w:after="600"/>
        <w:jc w:val="center"/>
      </w:pPr>
      <w:r>
        <w:rPr>
          <w:i/>
          <w:iCs/>
          <w:color w:val="555555"/>
          <w:sz w:val="22"/>
          <w:szCs w:val="22"/>
        </w:rPr>
        <w:t xml:space="preserve">Qué es, qué hace, cómo lo hace, a quiénes va dirigido y flujo institucional (convocatoria, operación y cierre)</w:t>
      </w:r>
    </w:p>
    <w:p>
      <w:pPr>
        <w:spacing w:after="100"/>
        <w:jc w:val="center"/>
      </w:pPr>
      <w:r>
        <w:rPr>
          <w:color w:val="777777"/>
          <w:sz w:val="18"/>
          <w:szCs w:val="18"/>
        </w:rPr>
        <w:t xml:space="preserve">Documento elaborado a partir de fuentes oficiales y periodísticas públicas</w:t>
      </w:r>
    </w:p>
    <w:p>
      <w:pPr>
        <w:spacing w:after="2000"/>
        <w:jc w:val="center"/>
      </w:pPr>
      <w:r>
        <w:rPr>
          <w:color w:val="777777"/>
          <w:sz w:val="18"/>
          <w:szCs w:val="18"/>
        </w:rPr>
        <w:t xml:space="preserve">Metepec, Estado de México · Septiembre de 2026</w:t>
      </w:r>
    </w:p>
    <w:p>
      <w:r>
        <w:br w:type="page"/>
      </w:r>
    </w:p>
    <w:p>
      <w:pPr>
        <w:pStyle w:val="Heading1"/>
        <w:pBdr>
          <w:bottom w:val="single" w:color="2E5E3E" w:sz="8" w:space="4"/>
        </w:pBdr>
        <w:spacing w:after="160" w:before="360"/>
      </w:pPr>
      <w:r>
        <w:t xml:space="preserve">Nota metodológica y alcance</w:t>
      </w:r>
    </w:p>
    <w:p>
      <w:pPr>
        <w:spacing w:after="160" w:line="276"/>
        <w:jc w:val="both"/>
      </w:pPr>
      <w:r>
        <w:t xml:space="preserve">PROBOSQUE (Protectora de Bosques del Estado de México), organismo público descentralizado sectorizado a la Secretaría del Campo, opera cada ejercicio fiscal una convocatoria única que agrupa varios programas de apoyo forestal. Dentro de dicha convocatoria, dos componentes corresponden directamente a la restauración y al manejo forestal sustentable: el Programa </w:t>
      </w:r>
      <w:r>
        <w:rPr>
          <w:b/>
          <w:bCs/>
        </w:rPr>
        <w:t xml:space="preserve">Restauración Hidrológico-Forestal</w:t>
      </w:r>
      <w:r>
        <w:t xml:space="preserve"> (antes </w:t>
      </w:r>
      <w:r>
        <w:rPr>
          <w:i/>
          <w:iCs/>
        </w:rPr>
        <w:t xml:space="preserve">Restauración Ecológica de Ecosistemas Forestales</w:t>
      </w:r>
      <w:r>
        <w:t xml:space="preserve">/Restauración Forestal Integral) y el Programa </w:t>
      </w:r>
      <w:r>
        <w:rPr>
          <w:b/>
          <w:bCs/>
        </w:rPr>
        <w:t xml:space="preserve">EDOMÉX Manejo Forestal Sustentable</w:t>
      </w:r>
      <w:r>
        <w:t xml:space="preserve">. Ambos comparten el mismo instrumento de solicitud, el mismo marco normativo estatal (Código para la Biodiversidad del Estado de México, Ley General de Desarrollo Forestal Sustentable) y una estructura operativa muy similar (recepción, dictaminación, comité resolutivo, contrato de adhesión, ministraciones y cierre).</w:t>
      </w:r>
    </w:p>
    <w:p>
      <w:pPr>
        <w:spacing w:after="160" w:line="276"/>
        <w:jc w:val="both"/>
      </w:pPr>
      <w:r>
        <w:t xml:space="preserve">Este informe integra la información encontrada en fuentes oficiales del Gobierno del Estado de México (Periódico Oficial "Gaceta del Gobierno", portal de Transparencia Fiscal, sitio institucional de PROBOSQUE y de la Secretaría del Campo) y en cobertura periodística reciente sobre la Convocatoria y Reglas de Operación 2023-2026, con el fin de responder de manera integral: qué es el programa, qué hace, cómo lo hace, quién lo hace (flujo desde la convocatoria hasta el cierre), cuándo lo hace y a quiénes va dirigido el apoyo. Todas las afirmaciones están referenciadas con el número de fuente correspondiente y al final se incluye la bibliografía completa con las URL consultadas.</w:t>
      </w:r>
    </w:p>
    <w:p>
      <w:pPr>
        <w:spacing w:after="160" w:line="276"/>
        <w:jc w:val="both"/>
      </w:pPr>
      <w:r>
        <w:rPr>
          <w:b/>
          <w:bCs/>
        </w:rPr>
        <w:t xml:space="preserve">Nota de vigencia: </w:t>
      </w:r>
      <w:r>
        <w:t xml:space="preserve">las Reglas de Operación y los montos de apoyo se actualizan y publican cada año en la Gaceta del Gobierno; este documento describe la estructura y el funcionamiento general del programa —estable a lo largo de los ejercicios revisados (2021-2026)— y señala explícitamente cuando un dato (monto, fecha límite, año) corresponde a una convocatoria específica.</w:t>
      </w:r>
    </w:p>
    <w:p>
      <w:pPr>
        <w:pStyle w:val="Heading1"/>
        <w:pBdr>
          <w:bottom w:val="single" w:color="2E5E3E" w:sz="8" w:space="4"/>
        </w:pBdr>
        <w:spacing w:after="160" w:before="360"/>
      </w:pPr>
      <w:r>
        <w:t xml:space="preserve">1. ¿Qué es el programa?</w:t>
      </w:r>
    </w:p>
    <w:p>
      <w:pPr>
        <w:spacing w:after="160" w:line="276"/>
        <w:jc w:val="both"/>
      </w:pPr>
      <w:r>
        <w:t xml:space="preserve">PROBOSQUE</w:t>
      </w:r>
      <w:r>
        <w:t xml:space="preserve"> es el organismo público descentralizado del Gobierno del Estado de México, sectorizado a la Secretaría del Campo, encargado de conducir la política estatal de desarrollo forestal sostenible, definir los lineamientos técnicos aplicables y diseñar los incentivos económicos en materia forestal, así como de expedir las Reglas de Operación que norman su aplicación</w:t>
      </w:r>
      <w:r>
        <w:rPr>
          <w:b/>
          <w:bCs/>
          <w:color w:val="2E5E3E"/>
          <w:sz w:val="18"/>
          <w:szCs w:val="18"/>
          <w:vertAlign w:val="superscript"/>
        </w:rPr>
        <w:t xml:space="preserve"> [13,20]</w:t>
      </w:r>
      <w:r>
        <w:t xml:space="preserve">.</w:t>
      </w:r>
    </w:p>
    <w:p>
      <w:pPr>
        <w:spacing w:after="160" w:line="276"/>
        <w:jc w:val="both"/>
      </w:pPr>
      <w:r>
        <w:rPr>
          <w:b/>
          <w:bCs/>
        </w:rPr>
        <w:t xml:space="preserve">Manejo Forestal Sustentable</w:t>
      </w:r>
      <w:r>
        <w:t xml:space="preserve"> es, de acuerdo con la definición oficial contenida en las Reglas de Operación, el proceso que comprende el conjunto de acciones y procedimientos que tienen por objeto la protección, conservación, restauración, fomento y cultivo de los recursos forestales, garantizando su aprovechamiento y su permanencia a largo plazo</w:t>
      </w:r>
      <w:r>
        <w:rPr>
          <w:b/>
          <w:bCs/>
          <w:color w:val="2E5E3E"/>
          <w:sz w:val="18"/>
          <w:szCs w:val="18"/>
          <w:vertAlign w:val="superscript"/>
        </w:rPr>
        <w:t xml:space="preserve"> [13,14]</w:t>
      </w:r>
      <w:r>
        <w:t xml:space="preserve">. El Programa EDOMÉX Manejo Forestal Sustentable es el instrumento mediante el cual PROBOSQUE otorga un estímulo económico a personas propietarias o poseedoras de terrenos forestales —y en su caso a centros de almacenamiento y transformación— para que gestionen sus recursos de forma sostenible y, si así lo deciden, obtengan o mantengan la certificación internacional del Forest Stewardship Council (FSC)</w:t>
      </w:r>
      <w:r>
        <w:rPr>
          <w:b/>
          <w:bCs/>
          <w:color w:val="2E5E3E"/>
          <w:sz w:val="18"/>
          <w:szCs w:val="18"/>
          <w:vertAlign w:val="superscript"/>
        </w:rPr>
        <w:t xml:space="preserve"> [9,13,3]</w:t>
      </w:r>
    </w:p>
    <w:p>
      <w:pPr>
        <w:spacing w:after="160" w:line="276"/>
        <w:jc w:val="both"/>
      </w:pPr>
      <w:r>
        <w:rPr>
          <w:b/>
          <w:bCs/>
        </w:rPr>
        <w:t xml:space="preserve">Restauración Hidrológico-Forestal</w:t>
      </w:r>
      <w:r>
        <w:t xml:space="preserve"> es el programa complementario orientado a zonas forestales degradadas; comprende obras de conservación de suelo, captación de agua y reforestación —apertura de cepas, trazo de curvas a nivel, terrazas, bordos, acolchado de plantas— cuyo propósito es reducir la erosión, favorecer la infiltración de agua de lluvia y la recarga de acuíferos, y asegurar la supervivencia de la reforestación, no solo su plantación</w:t>
      </w:r>
      <w:r>
        <w:rPr>
          <w:b/>
          <w:bCs/>
          <w:color w:val="2E5E3E"/>
          <w:sz w:val="18"/>
          <w:szCs w:val="18"/>
          <w:vertAlign w:val="superscript"/>
        </w:rPr>
        <w:t xml:space="preserve"> [4,6,7,3]</w:t>
      </w:r>
    </w:p>
    <w:p>
      <w:pPr>
        <w:spacing w:after="160" w:line="276"/>
        <w:jc w:val="both"/>
      </w:pPr>
      <w:r>
        <w:t xml:space="preserve">Ambos programas forman parte de una convocatoria anual conjunta (junto con Pago por Servicios Ambientales Hidrológicos, Capturando Carbono y Plantaciones Sustentables) que la Secretaría del Campo, a través de PROBOSQUE, publica cada año en el Periódico Oficial "Gaceta del Gobierno" del Estado de México.</w:t>
      </w:r>
    </w:p>
    <w:p>
      <w:pPr>
        <w:pStyle w:val="Heading1"/>
        <w:pBdr>
          <w:bottom w:val="single" w:color="2E5E3E" w:sz="8" w:space="4"/>
        </w:pBdr>
        <w:spacing w:after="160" w:before="360"/>
      </w:pPr>
      <w:r>
        <w:t xml:space="preserve">2. ¿Qué hace el programa? (objetivo y componentes)</w:t>
      </w:r>
    </w:p>
    <w:p>
      <w:pPr>
        <w:pStyle w:val="Heading2"/>
        <w:spacing w:after="120" w:before="280"/>
      </w:pPr>
      <w:r>
        <w:t xml:space="preserve">2.1 Objetivo general</w:t>
      </w:r>
    </w:p>
    <w:p>
      <w:pPr>
        <w:spacing w:after="160" w:line="276"/>
        <w:jc w:val="both"/>
      </w:pPr>
      <w:r>
        <w:t xml:space="preserve">Promover el manejo forestal sustentable de la entidad mexiquense mediante un manejo responsable de los recursos naturales, a través de acciones orientadas a la protección, conservación y restauración de las zonas forestales del Estado de México</w:t>
      </w:r>
      <w:r>
        <w:rPr>
          <w:b/>
          <w:bCs/>
          <w:color w:val="2E5E3E"/>
          <w:sz w:val="18"/>
          <w:szCs w:val="18"/>
          <w:vertAlign w:val="superscript"/>
        </w:rPr>
        <w:t xml:space="preserve"> [2,15]</w:t>
      </w:r>
    </w:p>
    <w:p>
      <w:pPr>
        <w:pStyle w:val="Heading2"/>
        <w:spacing w:after="120" w:before="280"/>
      </w:pPr>
      <w:r>
        <w:t xml:space="preserve">2.2 Conceptos de apoyo del Programa Manejo Forestal Sustentable</w:t>
      </w:r>
    </w:p>
    <w:p>
      <w:pPr>
        <w:spacing w:after="160" w:line="276"/>
        <w:jc w:val="both"/>
      </w:pPr>
      <w:r>
        <w:t xml:space="preserve">De acuerdo con las Reglas de Operación vigentes, el programa contempla, entre otros, los siguientes conceptos de apoyo:</w:t>
      </w:r>
    </w:p>
    <w:p>
      <w:pPr>
        <w:pStyle w:val="ListParagraph"/>
        <w:numPr>
          <w:ilvl w:val="0"/>
          <w:numId w:val="1"/>
        </w:numPr>
        <w:spacing w:after="100" w:line="276"/>
        <w:jc w:val="both"/>
      </w:pPr>
      <w:r>
        <w:t xml:space="preserve">Elaboración de Estudios Técnicos Forestales / Documentos Técnicos Unificados (DTU) como sustento para autorizaciones de aprovechamiento forestal maderable y no maderable.</w:t>
      </w:r>
    </w:p>
    <w:p>
      <w:pPr>
        <w:pStyle w:val="ListParagraph"/>
        <w:numPr>
          <w:ilvl w:val="0"/>
          <w:numId w:val="1"/>
        </w:numPr>
        <w:spacing w:after="100" w:line="276"/>
        <w:jc w:val="both"/>
      </w:pPr>
      <w:r>
        <w:t xml:space="preserve">Registro de plantaciones forestales comerciales.</w:t>
      </w:r>
    </w:p>
    <w:p>
      <w:pPr>
        <w:pStyle w:val="ListParagraph"/>
        <w:numPr>
          <w:ilvl w:val="0"/>
          <w:numId w:val="1"/>
        </w:numPr>
        <w:spacing w:after="100" w:line="276"/>
        <w:jc w:val="both"/>
      </w:pPr>
      <w:r>
        <w:t xml:space="preserve">Certificación internacional de manejo forestal bajo el esquema FSC (Forest Stewardship Council), de forma individual o grupal.</w:t>
      </w:r>
    </w:p>
    <w:p>
      <w:pPr>
        <w:pStyle w:val="ListParagraph"/>
        <w:numPr>
          <w:ilvl w:val="0"/>
          <w:numId w:val="1"/>
        </w:numPr>
        <w:spacing w:after="100" w:line="276"/>
        <w:jc w:val="both"/>
      </w:pPr>
      <w:r>
        <w:t xml:space="preserve">Mantenimiento de la certificación FSC ya obtenida (incluida la modalidad de mantenimiento grupal, en la que el recurso se conjunta a nivel del código de registro del certificado).</w:t>
      </w:r>
    </w:p>
    <w:p>
      <w:pPr>
        <w:pStyle w:val="ListParagraph"/>
        <w:numPr>
          <w:ilvl w:val="0"/>
          <w:numId w:val="1"/>
        </w:numPr>
        <w:spacing w:after="100" w:line="276"/>
        <w:jc w:val="both"/>
      </w:pPr>
      <w:r>
        <w:t xml:space="preserve">Cadena de custodia de centros de almacenamiento y transformación de industrias forestales sociales.</w:t>
      </w:r>
    </w:p>
    <w:p>
      <w:pPr>
        <w:spacing w:after="160" w:line="276"/>
        <w:jc w:val="both"/>
      </w:pPr>
      <w:r>
        <w:t xml:space="preserve">El programa contribuye directamente al cumplimiento del Objetivo de Desarrollo Sostenible 15 (Vida de Ecosistemas Terrestres) y, en su versión más reciente, también al Objetivo 13 (Acción por el Clima)</w:t>
      </w:r>
      <w:r>
        <w:rPr>
          <w:b/>
          <w:bCs/>
          <w:color w:val="2E5E3E"/>
          <w:sz w:val="18"/>
          <w:szCs w:val="18"/>
          <w:vertAlign w:val="superscript"/>
        </w:rPr>
        <w:t xml:space="preserve"> [9,41]</w:t>
      </w:r>
    </w:p>
    <w:p>
      <w:pPr>
        <w:pStyle w:val="Heading2"/>
        <w:spacing w:after="120" w:before="280"/>
      </w:pPr>
      <w:r>
        <w:t xml:space="preserve">2.3 Componentes de apoyo del Programa Restauración Hidrológico-Forestal</w:t>
      </w:r>
    </w:p>
    <w:p>
      <w:pPr>
        <w:pStyle w:val="ListParagraph"/>
        <w:numPr>
          <w:ilvl w:val="0"/>
          <w:numId w:val="1"/>
        </w:numPr>
        <w:spacing w:after="100" w:line="276"/>
        <w:jc w:val="both"/>
      </w:pPr>
      <w:r>
        <w:t xml:space="preserve">Obras de conservación de suelo y captación de agua (terrazas, bordos, presas de gavión, cepas y curvas a nivel).</w:t>
      </w:r>
    </w:p>
    <w:p>
      <w:pPr>
        <w:pStyle w:val="ListParagraph"/>
        <w:numPr>
          <w:ilvl w:val="0"/>
          <w:numId w:val="1"/>
        </w:numPr>
        <w:spacing w:after="100" w:line="276"/>
        <w:jc w:val="both"/>
      </w:pPr>
      <w:r>
        <w:t xml:space="preserve">Reforestación de superficies degradadas por incendios forestales u otros procesos de deterioro.</w:t>
      </w:r>
    </w:p>
    <w:p>
      <w:pPr>
        <w:pStyle w:val="ListParagraph"/>
        <w:numPr>
          <w:ilvl w:val="0"/>
          <w:numId w:val="1"/>
        </w:numPr>
        <w:spacing w:after="100" w:line="276"/>
        <w:jc w:val="both"/>
      </w:pPr>
      <w:r>
        <w:t xml:space="preserve">Mantenimiento y protección de reforestaciones establecidas en ejercicios anteriores, evaluado mediante el índice de supervivencia.</w:t>
      </w:r>
    </w:p>
    <w:p>
      <w:pPr>
        <w:pStyle w:val="ListParagraph"/>
        <w:numPr>
          <w:ilvl w:val="0"/>
          <w:numId w:val="1"/>
        </w:numPr>
        <w:spacing w:after="100" w:line="276"/>
        <w:jc w:val="both"/>
      </w:pPr>
      <w:r>
        <w:t xml:space="preserve">Entrega de planta forestal y asistencia técnica sin costo para el beneficiario.</w:t>
      </w:r>
    </w:p>
    <w:p>
      <w:pPr>
        <w:pStyle w:val="Heading2"/>
        <w:spacing w:after="120" w:before="280"/>
      </w:pPr>
      <w:r>
        <w:t xml:space="preserve">2.4 Montos y mecanismo de entrega del apoyo</w:t>
      </w:r>
    </w:p>
    <w:p>
      <w:pPr>
        <w:spacing w:after="160" w:line="276"/>
        <w:jc w:val="both"/>
      </w:pPr>
      <w:r>
        <w:t xml:space="preserve">Los apoyos son gratuitos para las personas beneficiarias: se cubren en su totalidad con recursos del Gobierno del Estado de México a través de PROBOSQUE y no generan costo alguno para quien los recibe</w:t>
      </w:r>
      <w:r>
        <w:rPr>
          <w:b/>
          <w:bCs/>
          <w:color w:val="2E5E3E"/>
          <w:sz w:val="18"/>
          <w:szCs w:val="18"/>
          <w:vertAlign w:val="superscript"/>
        </w:rPr>
        <w:t xml:space="preserve"> [65]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B57" w:val="clear"/>
            <w:tcMar>
              <w:top w:type="dxa" w:w="100"/>
              <w:left w:type="dxa" w:w="120"/>
              <w:bottom w:type="dxa" w:w="100"/>
              <w:right w:type="dxa" w:w="120"/>
            </w:tcMar>
            <w:vAlign w:val="center"/>
          </w:tcPr>
          <w:p>
            <w:pPr>
              <w:spacing w:after="60"/>
            </w:pPr>
            <w:r>
              <w:rPr>
                <w:b/>
                <w:bCs/>
                <w:color w:val="FFFFFF"/>
                <w:sz w:val="20"/>
                <w:szCs w:val="20"/>
              </w:rPr>
              <w:t xml:space="preserve">Programa</w:t>
            </w:r>
          </w:p>
        </w:tc>
        <w:tc>
          <w:tcPr>
            <w:tcW w:type="dxa" w:w="3200"/>
            <w:shd w:fill="1F3B57" w:val="clear"/>
            <w:tcMar>
              <w:top w:type="dxa" w:w="100"/>
              <w:left w:type="dxa" w:w="120"/>
              <w:bottom w:type="dxa" w:w="100"/>
              <w:right w:type="dxa" w:w="120"/>
            </w:tcMar>
            <w:vAlign w:val="center"/>
          </w:tcPr>
          <w:p>
            <w:pPr>
              <w:spacing w:after="60"/>
            </w:pPr>
            <w:r>
              <w:rPr>
                <w:b/>
                <w:bCs/>
                <w:color w:val="FFFFFF"/>
                <w:sz w:val="20"/>
                <w:szCs w:val="20"/>
              </w:rPr>
              <w:t xml:space="preserve">Rango de apoyo aproximado</w:t>
            </w:r>
          </w:p>
        </w:tc>
        <w:tc>
          <w:tcPr>
            <w:tcW w:type="dxa" w:w="3200"/>
            <w:shd w:fill="1F3B57" w:val="clear"/>
            <w:tcMar>
              <w:top w:type="dxa" w:w="100"/>
              <w:left w:type="dxa" w:w="120"/>
              <w:bottom w:type="dxa" w:w="100"/>
              <w:right w:type="dxa" w:w="120"/>
            </w:tcMar>
            <w:vAlign w:val="center"/>
          </w:tcPr>
          <w:p>
            <w:pPr>
              <w:spacing w:after="60"/>
            </w:pPr>
            <w:r>
              <w:rPr>
                <w:b/>
                <w:bCs/>
                <w:color w:val="FFFFFF"/>
                <w:sz w:val="20"/>
                <w:szCs w:val="20"/>
              </w:rPr>
              <w:t xml:space="preserve">Notas</w:t>
            </w:r>
          </w:p>
        </w:tc>
      </w:tr>
      <w:tr>
        <w:tc>
          <w:tcPr>
            <w:tcW w:type="dxa" w:w="3200"/>
            <w:tcMar>
              <w:top w:type="dxa" w:w="100"/>
              <w:left w:type="dxa" w:w="120"/>
              <w:bottom w:type="dxa" w:w="100"/>
              <w:right w:type="dxa" w:w="120"/>
            </w:tcMar>
            <w:vAlign w:val="center"/>
          </w:tcPr>
          <w:p>
            <w:pPr>
              <w:spacing w:after="60"/>
            </w:pPr>
            <w:r>
              <w:rPr>
                <w:b w:val="false"/>
                <w:bCs w:val="false"/>
                <w:sz w:val="20"/>
                <w:szCs w:val="20"/>
              </w:rPr>
              <w:t xml:space="preserve">Manejo Forestal Sustentable</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De $30,000 a $165,000 pesos, según el concepto y la superficie</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Incentivos adicionales para quienes buscan la certificación FSC (Convocatoria 2026)</w:t>
            </w:r>
          </w:p>
        </w:tc>
      </w:tr>
      <w:tr>
        <w:tc>
          <w:tcPr>
            <w:tcW w:type="dxa" w:w="3200"/>
            <w:tcMar>
              <w:top w:type="dxa" w:w="100"/>
              <w:left w:type="dxa" w:w="120"/>
              <w:bottom w:type="dxa" w:w="100"/>
              <w:right w:type="dxa" w:w="120"/>
            </w:tcMar>
            <w:vAlign w:val="center"/>
          </w:tcPr>
          <w:p>
            <w:pPr>
              <w:spacing w:after="60"/>
            </w:pPr>
            <w:r>
              <w:rPr>
                <w:b w:val="false"/>
                <w:bCs w:val="false"/>
                <w:sz w:val="20"/>
                <w:szCs w:val="20"/>
              </w:rPr>
              <w:t xml:space="preserve">Restauración Hidrológico-Forestal</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Hasta $30,000 pesos por hectárea</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Para obras de conservación de suelo, captación de agua, reforestación y protección de áreas restauradas</w:t>
            </w:r>
          </w:p>
        </w:tc>
      </w:tr>
      <w:tr>
        <w:tc>
          <w:tcPr>
            <w:tcW w:type="dxa" w:w="3200"/>
            <w:tcMar>
              <w:top w:type="dxa" w:w="100"/>
              <w:left w:type="dxa" w:w="120"/>
              <w:bottom w:type="dxa" w:w="100"/>
              <w:right w:type="dxa" w:w="120"/>
            </w:tcMar>
            <w:vAlign w:val="center"/>
          </w:tcPr>
          <w:p>
            <w:pPr>
              <w:spacing w:after="60"/>
            </w:pPr>
            <w:r>
              <w:rPr>
                <w:b w:val="false"/>
                <w:bCs w:val="false"/>
                <w:sz w:val="20"/>
                <w:szCs w:val="20"/>
              </w:rPr>
              <w:t xml:space="preserve">Reforestación (dentro de Reforestando EDOMÉX / Restauración)</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$2,500 por hectárea plantada</w:t>
            </w:r>
          </w:p>
        </w:tc>
        <w:tc>
          <w:tcPr>
            <w:tcW w:type="dxa" w:w="3200"/>
            <w:tcMar>
              <w:top w:type="dxa" w:w="100"/>
              <w:left w:type="dxa" w:w="120"/>
              <w:bottom w:type="dxa" w:w="100"/>
              <w:right w:type="dxa" w:w="120"/>
            </w:tcMar>
            <w:vAlign w:val="center"/>
          </w:tcPr>
          <w:p>
            <w:pPr>
              <w:spacing w:after="60"/>
            </w:pPr>
            <w:r>
              <w:rPr>
                <w:b w:val="false"/>
                <w:bCs w:val="false"/>
                <w:sz w:val="20"/>
                <w:szCs w:val="20"/>
              </w:rPr>
              <w:t xml:space="preserve">70% a la firma del Contrato de Adhesión y 30% a la conclusión de actividades; pago único de 100% si la superficie es menor a 3 ha</w:t>
            </w:r>
          </w:p>
        </w:tc>
      </w:tr>
    </w:tbl>
    <w:p>
      <w:pPr>
        <w:spacing w:after="120"/>
        <w:jc w:val="both"/>
      </w:pPr>
      <w:r>
        <w:t xml:space="preserve"/>
      </w:r>
    </w:p>
    <w:p>
      <w:pPr>
        <w:spacing w:after="160" w:line="276"/>
        <w:jc w:val="both"/>
      </w:pPr>
      <w:r>
        <w:rPr>
          <w:b/>
          <w:bCs/>
          <w:sz w:val="18"/>
          <w:szCs w:val="18"/>
        </w:rPr>
        <w:t xml:space="preserve">Fuentes: </w:t>
      </w:r>
      <w:r>
        <w:rPr>
          <w:sz w:val="18"/>
          <w:szCs w:val="18"/>
        </w:rPr>
        <w:t xml:space="preserve">Reglas de Operación y notas periodísticas sobre la Convocatoria 2026</w:t>
      </w:r>
      <w:r>
        <w:rPr>
          <w:b/>
          <w:bCs/>
          <w:color w:val="2E5E3E"/>
          <w:sz w:val="18"/>
          <w:szCs w:val="18"/>
          <w:vertAlign w:val="superscript"/>
        </w:rPr>
        <w:t xml:space="preserve"> [67,68,71,7]</w:t>
      </w:r>
    </w:p>
    <w:p>
      <w:pPr>
        <w:pStyle w:val="Heading1"/>
        <w:pBdr>
          <w:bottom w:val="single" w:color="2E5E3E" w:sz="8" w:space="4"/>
        </w:pBdr>
        <w:spacing w:after="160" w:before="360"/>
      </w:pPr>
      <w:r>
        <w:t xml:space="preserve">3. ¿A quiénes va dirigido el apoyo? (población objetivo y requisitos)</w:t>
      </w:r>
    </w:p>
    <w:p>
      <w:pPr>
        <w:spacing w:after="160" w:line="276"/>
        <w:jc w:val="both"/>
      </w:pPr>
      <w:r>
        <w:t xml:space="preserve">Los programas están dirigidos a</w:t>
      </w:r>
      <w:r>
        <w:rPr>
          <w:b/>
          <w:bCs/>
        </w:rPr>
        <w:t xml:space="preserve"> núcleos agrarios (ejidos y comunidades), personas físicas y personas jurídico-colectivas</w:t>
      </w:r>
      <w:r>
        <w:t xml:space="preserve">, de nacionalidad mexicana, que acrediten ser dueñas o poseedoras legales de terrenos con vocación forestal, plantaciones forestales comerciales o sistemas agroforestales dentro del territorio del Estado de México</w:t>
      </w:r>
      <w:r>
        <w:rPr>
          <w:b/>
          <w:bCs/>
          <w:color w:val="2E5E3E"/>
          <w:sz w:val="18"/>
          <w:szCs w:val="18"/>
          <w:vertAlign w:val="superscript"/>
        </w:rPr>
        <w:t xml:space="preserve"> [2,4,12,14]</w:t>
      </w:r>
    </w:p>
    <w:p>
      <w:pPr>
        <w:spacing w:after="160" w:line="276"/>
        <w:jc w:val="both"/>
      </w:pPr>
      <w:r>
        <w:t xml:space="preserve">Requisitos y condiciones generales identificados en las fuentes consultadas:</w:t>
      </w:r>
    </w:p>
    <w:p>
      <w:pPr>
        <w:pStyle w:val="ListParagraph"/>
        <w:numPr>
          <w:ilvl w:val="0"/>
          <w:numId w:val="1"/>
        </w:numPr>
        <w:spacing w:after="100" w:line="276"/>
        <w:jc w:val="both"/>
      </w:pPr>
      <w:r>
        <w:t xml:space="preserve">Acreditar la propiedad o legítima posesión del predio (escrituras, certificado parcelario, carpeta básica ejidal o documento equivalente).</w:t>
      </w:r>
    </w:p>
    <w:p>
      <w:pPr>
        <w:pStyle w:val="ListParagraph"/>
        <w:numPr>
          <w:ilvl w:val="0"/>
          <w:numId w:val="1"/>
        </w:numPr>
        <w:spacing w:after="100" w:line="276"/>
        <w:jc w:val="both"/>
      </w:pPr>
      <w:r>
        <w:t xml:space="preserve">Presentar la Solicitud Única del Programa (formato FO-PB-501 A/B) y el Registro de Información de la Persona Solicitante y/o Beneficiaria (FO-PB-502).</w:t>
      </w:r>
    </w:p>
    <w:p>
      <w:pPr>
        <w:pStyle w:val="ListParagraph"/>
        <w:numPr>
          <w:ilvl w:val="0"/>
          <w:numId w:val="1"/>
        </w:numPr>
        <w:spacing w:after="100" w:line="276"/>
        <w:jc w:val="both"/>
      </w:pPr>
      <w:r>
        <w:t xml:space="preserve">En el caso de núcleos agrarios, designar formalmente —mediante acta de asamblea del comisariado ejidal o comunal— a una segunda persona beneficiaria que pueda recibir el apoyo en caso de imposibilidad del titular.</w:t>
      </w:r>
    </w:p>
    <w:p>
      <w:pPr>
        <w:pStyle w:val="ListParagraph"/>
        <w:numPr>
          <w:ilvl w:val="0"/>
          <w:numId w:val="1"/>
        </w:numPr>
        <w:spacing w:after="100" w:line="276"/>
        <w:jc w:val="both"/>
      </w:pPr>
      <w:r>
        <w:t xml:space="preserve">Designar o contar con un Asesor Técnico / Prestador de Servicios Técnicos Forestales responsable de elaborar los estudios técnicos y dar seguimiento a las actividades comprometidas.</w:t>
      </w:r>
    </w:p>
    <w:p>
      <w:pPr>
        <w:pStyle w:val="ListParagraph"/>
        <w:numPr>
          <w:ilvl w:val="0"/>
          <w:numId w:val="1"/>
        </w:numPr>
        <w:spacing w:after="100" w:line="276"/>
        <w:jc w:val="both"/>
      </w:pPr>
      <w:r>
        <w:t xml:space="preserve">No aparecer en el Listado de Personas Beneficiarias Incumplidas de PROBOSQUE (sanción aplicada a quienes no cumplieron obligaciones en ejercicios anteriores).</w:t>
      </w:r>
    </w:p>
    <w:p>
      <w:pPr>
        <w:pStyle w:val="ListParagraph"/>
        <w:numPr>
          <w:ilvl w:val="0"/>
          <w:numId w:val="1"/>
        </w:numPr>
        <w:spacing w:after="100" w:line="276"/>
        <w:jc w:val="both"/>
      </w:pPr>
      <w:r>
        <w:t xml:space="preserve">Cumplir con los criterios de elegibilidad territorial (predio ubicado dentro de las áreas elegibles publicadas por PROBOSQUE en su mapa oficial).</w:t>
      </w:r>
    </w:p>
    <w:p>
      <w:pPr>
        <w:spacing w:after="160" w:line="276"/>
        <w:jc w:val="both"/>
      </w:pPr>
      <w:r>
        <w:rPr>
          <w:b/>
          <w:bCs/>
        </w:rPr>
        <w:t xml:space="preserve">Nota de enfoque social: </w:t>
      </w:r>
      <w:r>
        <w:t xml:space="preserve">las Reglas de Operación reconocen expresamente a las </w:t>
      </w:r>
      <w:r>
        <w:rPr>
          <w:i/>
          <w:iCs/>
        </w:rPr>
        <w:t xml:space="preserve">comunidades afromexicanas</w:t>
      </w:r>
      <w:r>
        <w:t xml:space="preserve"> como sujetos de derecho para el programa, e incorporan perspectiva de género en su diseño, en línea con la política estatal de bienestar</w:t>
      </w:r>
      <w:r>
        <w:rPr>
          <w:b/>
          <w:bCs/>
          <w:color w:val="2E5E3E"/>
          <w:sz w:val="18"/>
          <w:szCs w:val="18"/>
          <w:vertAlign w:val="superscript"/>
        </w:rPr>
        <w:t xml:space="preserve"> [56,41]</w:t>
      </w:r>
    </w:p>
    <w:p>
      <w:pPr>
        <w:spacing w:after="160" w:line="276"/>
        <w:jc w:val="both"/>
      </w:pPr>
      <w:r>
        <w:t xml:space="preserve">Cuando la meta de personas beneficiarias del ejercicio fiscal se cubre antes de atender todas las solicitudes procedentes, PROBOSQUE integra una </w:t>
      </w:r>
      <w:r>
        <w:rPr>
          <w:i/>
          <w:iCs/>
        </w:rPr>
        <w:t xml:space="preserve">"lista de espera"</w:t>
      </w:r>
      <w:r>
        <w:t xml:space="preserve"> con las solicitudes que cumplieron los requisitos pero no fueron cubiertas por falta de presupuesto o de meta disponible en ese ejercicio</w:t>
      </w:r>
      <w:r>
        <w:rPr>
          <w:b/>
          <w:bCs/>
          <w:color w:val="2E5E3E"/>
          <w:sz w:val="18"/>
          <w:szCs w:val="18"/>
          <w:vertAlign w:val="superscript"/>
        </w:rPr>
        <w:t xml:space="preserve"> [19]</w:t>
      </w:r>
    </w:p>
    <w:p>
      <w:pPr>
        <w:pStyle w:val="Heading1"/>
        <w:pBdr>
          <w:bottom w:val="single" w:color="2E5E3E" w:sz="8" w:space="4"/>
        </w:pBdr>
        <w:spacing w:after="160" w:before="360"/>
      </w:pPr>
      <w:r>
        <w:t xml:space="preserve">4. ¿Cómo lo hace? (mecanismo de operación)</w:t>
      </w:r>
    </w:p>
    <w:p>
      <w:pPr>
        <w:spacing w:after="160" w:line="276"/>
        <w:jc w:val="both"/>
      </w:pPr>
      <w:r>
        <w:t xml:space="preserve">El mecanismo combina tres componentes que se entregan de forma conjunta:</w:t>
      </w:r>
    </w:p>
    <w:p>
      <w:pPr>
        <w:pStyle w:val="ListParagraph"/>
        <w:numPr>
          <w:ilvl w:val="0"/>
          <w:numId w:val="1"/>
        </w:numPr>
        <w:spacing w:after="100" w:line="276"/>
        <w:jc w:val="both"/>
      </w:pPr>
      <w:r>
        <w:t xml:space="preserve">Estímulo económico directo al beneficiario, ministrado normalmente en dos pagos (ministraciones) ligados al cumplimiento de hitos: la primera al asignarse el apoyo y firmarse el Contrato de Adhesión, y la segunda a la conclusión verificada de las actividades comprometidas.</w:t>
      </w:r>
    </w:p>
    <w:p>
      <w:pPr>
        <w:pStyle w:val="ListParagraph"/>
        <w:numPr>
          <w:ilvl w:val="0"/>
          <w:numId w:val="1"/>
        </w:numPr>
        <w:spacing w:after="100" w:line="276"/>
        <w:jc w:val="both"/>
      </w:pPr>
      <w:r>
        <w:t xml:space="preserve">Acompañamiento y asesoría técnica especializada, brindada sin costo por personal de PROBOSQUE o por un Prestador de Servicios Técnicos Forestales registrado, durante todo el ciclo del apoyo.</w:t>
      </w:r>
    </w:p>
    <w:p>
      <w:pPr>
        <w:pStyle w:val="ListParagraph"/>
        <w:numPr>
          <w:ilvl w:val="0"/>
          <w:numId w:val="1"/>
        </w:numPr>
        <w:spacing w:after="100" w:line="276"/>
        <w:jc w:val="both"/>
      </w:pPr>
      <w:r>
        <w:t xml:space="preserve">Entrega de planta forestal (en los conceptos de reforestación y mantenimiento), cuya cantidad se ajusta según el índice de supervivencia verificado en campo.</w:t>
      </w:r>
    </w:p>
    <w:p>
      <w:pPr>
        <w:spacing w:after="160" w:line="276"/>
        <w:jc w:val="both"/>
      </w:pPr>
      <w:r>
        <w:t xml:space="preserve">Todo el proceso, desde la recepción de la solicitud hasta la dictaminación, se realiza de manera presencial en la </w:t>
      </w:r>
      <w:r>
        <w:rPr>
          <w:b/>
          <w:bCs/>
        </w:rPr>
        <w:t xml:space="preserve">Ventanilla Única de Trámites Forestales</w:t>
      </w:r>
      <w:r>
        <w:t xml:space="preserve">, ubicada en la Dirección de Restauración y Fomento Forestal de PROBOSQUE, y las solicitudes se dictaminan en el orden en que se reciben</w:t>
      </w:r>
      <w:r>
        <w:rPr>
          <w:b/>
          <w:bCs/>
          <w:color w:val="2E5E3E"/>
          <w:sz w:val="18"/>
          <w:szCs w:val="18"/>
          <w:vertAlign w:val="superscript"/>
        </w:rPr>
        <w:t xml:space="preserve"> [13,49]</w:t>
      </w:r>
    </w:p>
    <w:p>
      <w:pPr>
        <w:pStyle w:val="Heading1"/>
        <w:pBdr>
          <w:bottom w:val="single" w:color="2E5E3E" w:sz="8" w:space="4"/>
        </w:pBdr>
        <w:spacing w:after="160" w:before="360"/>
      </w:pPr>
      <w:r>
        <w:t xml:space="preserve">5. ¿Cuándo lo hace? (periodicidad y calendario)</w:t>
      </w:r>
    </w:p>
    <w:p>
      <w:pPr>
        <w:spacing w:after="160" w:line="276"/>
        <w:jc w:val="both"/>
      </w:pPr>
      <w:r>
        <w:t xml:space="preserve">El programa opera bajo una lógica de ejercicio fiscal anual: cada año se publica una nueva Convocatoria y, en su caso, se actualizan las Reglas de Operación en la Gaceta del Gobierno del Estado de México.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00"/>
      </w:tblGrid>
      <w:tr>
        <w:trPr>
          <w:tblHeader/>
        </w:trPr>
        <w:tc>
          <w:tcPr>
            <w:tcW w:type="dxa" w:w="2200"/>
            <w:shd w:fill="1F3B57" w:val="clear"/>
            <w:tcMar>
              <w:top w:type="dxa" w:w="100"/>
              <w:left w:type="dxa" w:w="120"/>
              <w:bottom w:type="dxa" w:w="100"/>
              <w:right w:type="dxa" w:w="120"/>
            </w:tcMar>
            <w:vAlign w:val="center"/>
          </w:tcPr>
          <w:p>
            <w:pPr>
              <w:spacing w:after="60"/>
            </w:pPr>
            <w:r>
              <w:rPr>
                <w:b/>
                <w:bCs/>
                <w:color w:val="FFFFFF"/>
                <w:sz w:val="20"/>
                <w:szCs w:val="20"/>
              </w:rPr>
              <w:t xml:space="preserve">Ejercicio</w:t>
            </w:r>
          </w:p>
        </w:tc>
        <w:tc>
          <w:tcPr>
            <w:tcW w:type="dxa" w:w="4000"/>
            <w:shd w:fill="1F3B57" w:val="clear"/>
            <w:tcMar>
              <w:top w:type="dxa" w:w="100"/>
              <w:left w:type="dxa" w:w="120"/>
              <w:bottom w:type="dxa" w:w="100"/>
              <w:right w:type="dxa" w:w="120"/>
            </w:tcMar>
            <w:vAlign w:val="center"/>
          </w:tcPr>
          <w:p>
            <w:pPr>
              <w:spacing w:after="60"/>
            </w:pPr>
            <w:r>
              <w:rPr>
                <w:b/>
                <w:bCs/>
                <w:color w:val="FFFFFF"/>
                <w:sz w:val="20"/>
                <w:szCs w:val="20"/>
              </w:rPr>
              <w:t xml:space="preserve">Hito relevante</w:t>
            </w:r>
          </w:p>
        </w:tc>
        <w:tc>
          <w:tcPr>
            <w:tcW w:type="dxa" w:w="3400"/>
            <w:shd w:fill="1F3B57" w:val="clear"/>
            <w:tcMar>
              <w:top w:type="dxa" w:w="100"/>
              <w:left w:type="dxa" w:w="120"/>
              <w:bottom w:type="dxa" w:w="100"/>
              <w:right w:type="dxa" w:w="120"/>
            </w:tcMar>
            <w:vAlign w:val="center"/>
          </w:tcPr>
          <w:p>
            <w:pPr>
              <w:spacing w:after="60"/>
            </w:pPr>
            <w:r>
              <w:rPr>
                <w:b/>
                <w:bCs/>
                <w:color w:val="FFFFFF"/>
                <w:sz w:val="20"/>
                <w:szCs w:val="20"/>
              </w:rPr>
              <w:t xml:space="preserve">Fuente</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2020</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Inicio de operación del componente de gestión de manejo forestal sustentable y/o certificación dentro del programa; se apoyaron 31 estudios técnicos forestales, 4 certificaciones grupales FSC, 66 registros de plantaciones y 2 cadenas de custodia.</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Probosque</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2021</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Publicación de Reglas de Operación de seis programas dirigidos a núcleos agrarios y comunidades forestales.</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Vértigo Político</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2023</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Convocatoria única publicada el 10 de febrero; cierre de recepción el 31 de marzo; se recibieron 57 solicitudes para Manejo Forestal Sustentable.</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Probosque / Gaceta del Gobierno</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2024</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Convocatoria publicada el 10 de febrero; fecha límite de solicitud el 29 de marzo.</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Secretaría del Campo</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2025</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Convocatoria publicada el 29 de enero (Gaceta del Gobierno); inscripciones hasta el 4 de abril, salvo Manejo Forestal Sustentable, con cierre el 28 de marzo.</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Gaceta del Gobierno / Edomex al Día</w:t>
            </w:r>
          </w:p>
        </w:tc>
      </w:tr>
      <w:tr>
        <w:tc>
          <w:tcPr>
            <w:tcW w:type="dxa" w:w="2200"/>
            <w:tcMar>
              <w:top w:type="dxa" w:w="100"/>
              <w:left w:type="dxa" w:w="120"/>
              <w:bottom w:type="dxa" w:w="100"/>
              <w:right w:type="dxa" w:w="120"/>
            </w:tcMar>
            <w:vAlign w:val="center"/>
          </w:tcPr>
          <w:p>
            <w:pPr>
              <w:spacing w:after="60"/>
            </w:pPr>
            <w:r>
              <w:rPr>
                <w:b w:val="false"/>
                <w:bCs w:val="false"/>
                <w:sz w:val="20"/>
                <w:szCs w:val="20"/>
              </w:rPr>
              <w:t xml:space="preserve">2026</w:t>
            </w:r>
          </w:p>
        </w:tc>
        <w:tc>
          <w:tcPr>
            <w:tcW w:type="dxa" w:w="4000"/>
            <w:tcMar>
              <w:top w:type="dxa" w:w="100"/>
              <w:left w:type="dxa" w:w="120"/>
              <w:bottom w:type="dxa" w:w="100"/>
              <w:right w:type="dxa" w:w="120"/>
            </w:tcMar>
            <w:vAlign w:val="center"/>
          </w:tcPr>
          <w:p>
            <w:pPr>
              <w:spacing w:after="60"/>
            </w:pPr>
            <w:r>
              <w:rPr>
                <w:b w:val="false"/>
                <w:bCs w:val="false"/>
                <w:sz w:val="20"/>
                <w:szCs w:val="20"/>
              </w:rPr>
              <w:t xml:space="preserve">Convocatoria y Reglas de Operación publicadas el 27 de enero de 2026; se incorpora el nombre "Restauración Hidrológico-Forestal"; apoyos de hasta $165,000 pesos.</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Gaceta del Gobierno / prensa local</w:t>
            </w:r>
          </w:p>
        </w:tc>
      </w:tr>
    </w:tbl>
    <w:p>
      <w:pPr>
        <w:spacing w:after="120"/>
        <w:jc w:val="both"/>
      </w:pPr>
      <w:r>
        <w:t xml:space="preserve"/>
      </w:r>
    </w:p>
    <w:p>
      <w:pPr>
        <w:spacing w:after="160" w:line="276"/>
        <w:jc w:val="both"/>
      </w:pPr>
      <w:r>
        <w:rPr>
          <w:b/>
          <w:bCs/>
          <w:color w:val="2E5E3E"/>
          <w:sz w:val="18"/>
          <w:szCs w:val="18"/>
          <w:vertAlign w:val="superscript"/>
        </w:rPr>
        <w:t xml:space="preserve"> [9,17,15,46,65,67]</w:t>
      </w:r>
    </w:p>
    <w:p>
      <w:pPr>
        <w:spacing w:after="160" w:line="276"/>
        <w:jc w:val="both"/>
      </w:pPr>
      <w:r>
        <w:t xml:space="preserve">Dentro de cada ejercicio, el ciclo operativo interno (recepción → dictaminación → resolución del Comité → ministraciones → cierre) suele desarrollarse a lo largo del mismo año calendario, de modo que el pago final y el cierre del expediente ocurren, salvo prórroga, antes de que concluya el ejercicio fiscal en curso.</w:t>
      </w:r>
    </w:p>
    <w:p>
      <w:pPr>
        <w:pStyle w:val="Heading1"/>
        <w:pBdr>
          <w:bottom w:val="single" w:color="2E5E3E" w:sz="8" w:space="4"/>
        </w:pBdr>
        <w:spacing w:after="160" w:before="360"/>
      </w:pPr>
      <w:r>
        <w:t xml:space="preserve">6. ¿Quién lo hace? Flujo institucional: convocatoria, operación y cierre</w:t>
      </w:r>
    </w:p>
    <w:p>
      <w:pPr>
        <w:spacing w:after="160" w:line="276"/>
        <w:jc w:val="both"/>
      </w:pPr>
      <w:r>
        <w:t xml:space="preserve">A partir de las Reglas de Operación y de los reglamentos internos de los órganos colegiados forestales del Estado de México, se reconstruye el siguiente flujo, organizado en tres grandes fases. Para cada etapa se identifica el área o el órgano responsable, su rol y el producto que genera.</w:t>
      </w:r>
    </w:p>
    <w:p>
      <w:pPr>
        <w:pStyle w:val="Heading2"/>
        <w:spacing w:after="120" w:before="280"/>
      </w:pPr>
      <w:r>
        <w:t xml:space="preserve">6.1 Actores institucionales (mapa de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B57" w:val="clear"/>
            <w:tcMar>
              <w:top w:type="dxa" w:w="100"/>
              <w:left w:type="dxa" w:w="120"/>
              <w:bottom w:type="dxa" w:w="100"/>
              <w:right w:type="dxa" w:w="120"/>
            </w:tcMar>
            <w:vAlign w:val="center"/>
          </w:tcPr>
          <w:p>
            <w:pPr>
              <w:spacing w:after="60"/>
            </w:pPr>
            <w:r>
              <w:rPr>
                <w:b/>
                <w:bCs/>
                <w:color w:val="FFFFFF"/>
                <w:sz w:val="20"/>
                <w:szCs w:val="20"/>
              </w:rPr>
              <w:t xml:space="preserve">Actor / instancia</w:t>
            </w:r>
          </w:p>
        </w:tc>
        <w:tc>
          <w:tcPr>
            <w:tcW w:type="dxa" w:w="3400"/>
            <w:shd w:fill="1F3B57" w:val="clear"/>
            <w:tcMar>
              <w:top w:type="dxa" w:w="100"/>
              <w:left w:type="dxa" w:w="120"/>
              <w:bottom w:type="dxa" w:w="100"/>
              <w:right w:type="dxa" w:w="120"/>
            </w:tcMar>
            <w:vAlign w:val="center"/>
          </w:tcPr>
          <w:p>
            <w:pPr>
              <w:spacing w:after="60"/>
            </w:pPr>
            <w:r>
              <w:rPr>
                <w:b/>
                <w:bCs/>
                <w:color w:val="FFFFFF"/>
                <w:sz w:val="20"/>
                <w:szCs w:val="20"/>
              </w:rPr>
              <w:t xml:space="preserve">Naturaleza</w:t>
            </w:r>
          </w:p>
        </w:tc>
        <w:tc>
          <w:tcPr>
            <w:tcW w:type="dxa" w:w="3600"/>
            <w:shd w:fill="1F3B57" w:val="clear"/>
            <w:tcMar>
              <w:top w:type="dxa" w:w="100"/>
              <w:left w:type="dxa" w:w="120"/>
              <w:bottom w:type="dxa" w:w="100"/>
              <w:right w:type="dxa" w:w="120"/>
            </w:tcMar>
            <w:vAlign w:val="center"/>
          </w:tcPr>
          <w:p>
            <w:pPr>
              <w:spacing w:after="60"/>
            </w:pPr>
            <w:r>
              <w:rPr>
                <w:b/>
                <w:bCs/>
                <w:color w:val="FFFFFF"/>
                <w:sz w:val="20"/>
                <w:szCs w:val="20"/>
              </w:rPr>
              <w:t xml:space="preserve">Rol principal en el programa</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Secretaría del Campo del Estado de México</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Dependencia del Ejecutivo estatal, cabeza de sector</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Emite y publica la Convocatoria; difunde el programa a la ciudadanía junto con PROBOSQUE.</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PROBOSQUE (Instancia Responsable)</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Organismo público descentralizado sectorizado a la Secretaría del Campo</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Diseña las Reglas de Operación, opera el programa de principio a fin y resguarda los recursos económicos y técnicos.</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Dirección General de PROBOSQUE</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Autoridad superior del organismo</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Suscribe la Convocatoria y las Reglas de Operación; preside o suple la presidencia de los comités técnicos y fideicomisos forestales.</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Dirección de Restauración y Fomento Forestal (Instancia Ejecutora)</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Dirección de área de PROBOSQUE</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Opera la Ventanilla Única de Trámites Forestales; ejecuta el programa en campo y gabinete.</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Departamento de Estudios de Manejo Integral Forestal</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Unidad técnica dentro de la Instancia Ejecutora</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Solicita y concentra los dictámenes técnicos; determina qué solicitudes son factibles y cuáles no.</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Delegaciones Regionales Forestales de PROBOSQUE (8 en el Estado de México)</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Oficinas desconcentradas territoriales</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Reciben documentación en campo, integran el expediente y lo turnan al área ejecutora central.</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Unidad Jurídica y de Igualdad de Género de PROBOSQUE</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Área jurídica interna</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Emite el dictamen jurídico sobre la acreditación de propiedad/posesión y la elegibilidad legal del solicitante.</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Comité de Admisión y Seguimiento del Programa (Instancia Normativa)</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Órgano colegiado interinstitucional</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Conoce, califica y aprueba (o rechaza) las solicitudes; emite un fallo inapelable; resuelve lo no previsto en la Convocatoria.</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Comisión de Verificación Técnica (para programas con componente hídrico, p. ej. PSAH)</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Comisión mixta: PROBOSQUE (2), CONAFOR (1), CAEM (1)</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Realiza visitas de campo a los predios candidatos y valida en sitio la información del expediente técnico.</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Comisión Nacional Forestal (CONAFOR)</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Órgano desconcentrado federal</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Participa como vocal en comités técnicos y en comisiones de verificación; coordina normatividad forestal federal.</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Comisión del Agua del Estado de México (CAEM)</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Organismo público descentralizado estatal</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Participa en la verificación técnica de predios vinculados a servicios ambientales hidrológicos.</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Prestador de Servicios Técnicos Forestales / Asesor Técnico</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Profesional externo inscrito en el Registro Forestal Nacional</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Elabora los estudios técnicos y el Anexo Técnico; da seguimiento al beneficiario hasta la conclusión y el finiquito del proyecto.</w:t>
            </w:r>
          </w:p>
        </w:tc>
      </w:tr>
      <w:tr>
        <w:tc>
          <w:tcPr>
            <w:tcW w:type="dxa" w:w="2600"/>
            <w:tcMar>
              <w:top w:type="dxa" w:w="100"/>
              <w:left w:type="dxa" w:w="120"/>
              <w:bottom w:type="dxa" w:w="100"/>
              <w:right w:type="dxa" w:w="120"/>
            </w:tcMar>
            <w:vAlign w:val="center"/>
          </w:tcPr>
          <w:p>
            <w:pPr>
              <w:spacing w:after="60"/>
            </w:pPr>
            <w:r>
              <w:rPr>
                <w:b w:val="false"/>
                <w:bCs w:val="false"/>
                <w:sz w:val="20"/>
                <w:szCs w:val="20"/>
              </w:rPr>
              <w:t xml:space="preserve">Personas beneficiarias (núcleos agrarios, personas físicas y jurídico-colectivas)</w:t>
            </w:r>
          </w:p>
        </w:tc>
        <w:tc>
          <w:tcPr>
            <w:tcW w:type="dxa" w:w="3400"/>
            <w:tcMar>
              <w:top w:type="dxa" w:w="100"/>
              <w:left w:type="dxa" w:w="120"/>
              <w:bottom w:type="dxa" w:w="100"/>
              <w:right w:type="dxa" w:w="120"/>
            </w:tcMar>
            <w:vAlign w:val="center"/>
          </w:tcPr>
          <w:p>
            <w:pPr>
              <w:spacing w:after="60"/>
            </w:pPr>
            <w:r>
              <w:rPr>
                <w:b w:val="false"/>
                <w:bCs w:val="false"/>
                <w:sz w:val="20"/>
                <w:szCs w:val="20"/>
              </w:rPr>
              <w:t xml:space="preserve">Solicitantes / titulares del apoyo</w:t>
            </w:r>
          </w:p>
        </w:tc>
        <w:tc>
          <w:tcPr>
            <w:tcW w:type="dxa" w:w="3600"/>
            <w:tcMar>
              <w:top w:type="dxa" w:w="100"/>
              <w:left w:type="dxa" w:w="120"/>
              <w:bottom w:type="dxa" w:w="100"/>
              <w:right w:type="dxa" w:w="120"/>
            </w:tcMar>
            <w:vAlign w:val="center"/>
          </w:tcPr>
          <w:p>
            <w:pPr>
              <w:spacing w:after="60"/>
            </w:pPr>
            <w:r>
              <w:rPr>
                <w:b w:val="false"/>
                <w:bCs w:val="false"/>
                <w:sz w:val="20"/>
                <w:szCs w:val="20"/>
              </w:rPr>
              <w:t xml:space="preserve">Presentan la solicitud, firman el Contrato de Adhesión y ejecutan las actividades comprometidas.</w:t>
            </w:r>
          </w:p>
        </w:tc>
      </w:tr>
    </w:tbl>
    <w:p>
      <w:pPr>
        <w:spacing w:after="120"/>
        <w:jc w:val="both"/>
      </w:pPr>
      <w:r>
        <w:t xml:space="preserve"/>
      </w:r>
    </w:p>
    <w:p>
      <w:pPr>
        <w:spacing w:after="160" w:line="276"/>
        <w:jc w:val="both"/>
      </w:pPr>
      <w:r>
        <w:rPr>
          <w:b/>
          <w:bCs/>
          <w:color w:val="2E5E3E"/>
          <w:sz w:val="18"/>
          <w:szCs w:val="18"/>
          <w:vertAlign w:val="superscript"/>
        </w:rPr>
        <w:t xml:space="preserve"> [49,56,13,11,19,20]</w:t>
      </w:r>
    </w:p>
    <w:p>
      <w:pPr>
        <w:pStyle w:val="Heading2"/>
        <w:spacing w:after="120" w:before="280"/>
      </w:pPr>
      <w:r>
        <w:t xml:space="preserve">6.2 Fase I — Convocatoria</w:t>
      </w:r>
    </w:p>
    <w:p>
      <w:pPr>
        <w:pStyle w:val="ListParagraph"/>
        <w:numPr>
          <w:ilvl w:val="0"/>
          <w:numId w:val="1"/>
        </w:numPr>
        <w:spacing w:after="100" w:line="276"/>
        <w:jc w:val="both"/>
      </w:pPr>
      <w:r>
        <w:t xml:space="preserve">Emisión y publicación. La Secretaría del Campo, a través de PROBOSQUE, elabora y publica la Convocatoria anual —junto con las Reglas de Operación vigentes o sus modificaciones— en el Periódico Oficial "Gaceta del Gobierno" del Estado de México.</w:t>
      </w:r>
    </w:p>
    <w:p>
      <w:pPr>
        <w:pStyle w:val="ListParagraph"/>
        <w:numPr>
          <w:ilvl w:val="0"/>
          <w:numId w:val="1"/>
        </w:numPr>
        <w:spacing w:after="100" w:line="276"/>
        <w:jc w:val="both"/>
      </w:pPr>
      <w:r>
        <w:t xml:space="preserve">Difusión. PROBOSQUE y la Secretaría del Campo difunden la Convocatoria en su sitio web (probosque.edomex.gob.mx/convocatorias), redes sociales institucionales (Facebook e X) y línea telefónica de atención, e informan la fecha límite de recepción de solicitudes.</w:t>
      </w:r>
    </w:p>
    <w:p>
      <w:pPr>
        <w:pStyle w:val="ListParagraph"/>
        <w:numPr>
          <w:ilvl w:val="0"/>
          <w:numId w:val="1"/>
        </w:numPr>
        <w:spacing w:after="100" w:line="276"/>
        <w:jc w:val="both"/>
      </w:pPr>
      <w:r>
        <w:t xml:space="preserve">Publicación de formatos y guías. Se ponen a disposición del público la Solicitud Única (FO-PB-501 A/B), el Registro de Información de la Persona Solicitante y/o Beneficiaria (FO-PB-502) y, cuando aplica, la Guía de contenido para la elaboración del Proyecto Técnico de Restauración Forestal Integral, así como el mapa de Áreas Elegibles de Restauración.</w:t>
      </w:r>
    </w:p>
    <w:p>
      <w:pPr>
        <w:spacing w:after="160" w:line="276"/>
        <w:jc w:val="both"/>
      </w:pPr>
      <w:r>
        <w:rPr>
          <w:b/>
          <w:bCs/>
          <w:color w:val="2E5E3E"/>
          <w:sz w:val="18"/>
          <w:szCs w:val="18"/>
          <w:vertAlign w:val="superscript"/>
        </w:rPr>
        <w:t xml:space="preserve"> [1,2,15,41]</w:t>
      </w:r>
    </w:p>
    <w:p>
      <w:pPr>
        <w:pStyle w:val="Heading2"/>
        <w:spacing w:after="120" w:before="280"/>
      </w:pPr>
      <w:r>
        <w:t xml:space="preserve">6.3 Fase II — Operación</w:t>
      </w:r>
    </w:p>
    <w:p>
      <w:pPr>
        <w:pStyle w:val="ListParagraph"/>
        <w:numPr>
          <w:ilvl w:val="0"/>
          <w:numId w:val="1"/>
        </w:numPr>
        <w:spacing w:after="100" w:line="276"/>
        <w:jc w:val="both"/>
      </w:pPr>
      <w:r>
        <w:t xml:space="preserve">Recepción de la solicitud. La persona interesada presenta su solicitud de forma presencial en la Ventanilla Única de Trámites Forestales o, en zonas foráneas, ante la Delegación Regional Forestal de PROBOSQUE correspondiente, acompañada de la documentación que acredita propiedad o posesión y, en su caso, la designación de una segunda persona beneficiaria y del Asesor Técnico.</w:t>
      </w:r>
    </w:p>
    <w:p>
      <w:pPr>
        <w:pStyle w:val="ListParagraph"/>
        <w:numPr>
          <w:ilvl w:val="0"/>
          <w:numId w:val="1"/>
        </w:numPr>
        <w:spacing w:after="100" w:line="276"/>
        <w:jc w:val="both"/>
      </w:pPr>
      <w:r>
        <w:t xml:space="preserve">Integración del expediente. La Delegación Regional Forestal incorpora la documentación al expediente y lo turna a la Instancia Ejecutora (Dirección de Restauración y Fomento Forestal).</w:t>
      </w:r>
    </w:p>
    <w:p>
      <w:pPr>
        <w:pStyle w:val="ListParagraph"/>
        <w:numPr>
          <w:ilvl w:val="0"/>
          <w:numId w:val="1"/>
        </w:numPr>
        <w:spacing w:after="100" w:line="276"/>
        <w:jc w:val="both"/>
      </w:pPr>
      <w:r>
        <w:t xml:space="preserve">Dictaminación técnica y jurídica. El Departamento de Estudios de Manejo Integral Forestal solicita los dictámenes correspondientes al área técnica y a la Unidad Jurídica y de Igualdad de Género; las solicitudes se dictaminan en el orden en que ingresaron a la ventanilla.</w:t>
      </w:r>
    </w:p>
    <w:p>
      <w:pPr>
        <w:pStyle w:val="ListParagraph"/>
        <w:numPr>
          <w:ilvl w:val="0"/>
          <w:numId w:val="1"/>
        </w:numPr>
        <w:spacing w:after="100" w:line="276"/>
        <w:jc w:val="both"/>
      </w:pPr>
      <w:r>
        <w:t xml:space="preserve">Determinación de solicitudes factibles/no factibles. Con los dictámenes en mano, la Instancia Ejecutora clasifica las solicitudes como factibles o no factibles.</w:t>
      </w:r>
    </w:p>
    <w:p>
      <w:pPr>
        <w:pStyle w:val="ListParagraph"/>
        <w:numPr>
          <w:ilvl w:val="0"/>
          <w:numId w:val="1"/>
        </w:numPr>
        <w:spacing w:after="100" w:line="276"/>
        <w:jc w:val="both"/>
      </w:pPr>
      <w:r>
        <w:t xml:space="preserve">Verificación en campo. Cuando el concepto lo requiere (por ejemplo, servicios ambientales hidrológicos o certificación FSC), se realiza una visita técnica de campo —a cargo de la Comisión de Verificación Técnica u homóloga— acompañada por el dueño, poseedor, representante legal o integrante del comisariado ejidal, para validar in situ la información del Anexo Técnico.</w:t>
      </w:r>
    </w:p>
    <w:p>
      <w:pPr>
        <w:pStyle w:val="ListParagraph"/>
        <w:numPr>
          <w:ilvl w:val="0"/>
          <w:numId w:val="1"/>
        </w:numPr>
        <w:spacing w:after="100" w:line="276"/>
        <w:jc w:val="both"/>
      </w:pPr>
      <w:r>
        <w:t xml:space="preserve">Resolución del Comité de Admisión y Seguimiento. Las solicitudes factibles se presentan al Comité de Admisión y Seguimiento del Programa, órgano colegiado interinstitucional que califica, aprueba o rechaza cada expediente y asigna los apoyos financieros; su resolución tiene carácter de fallo inapelable.</w:t>
      </w:r>
    </w:p>
    <w:p>
      <w:pPr>
        <w:pStyle w:val="ListParagraph"/>
        <w:numPr>
          <w:ilvl w:val="0"/>
          <w:numId w:val="1"/>
        </w:numPr>
        <w:spacing w:after="100" w:line="276"/>
        <w:jc w:val="both"/>
      </w:pPr>
      <w:r>
        <w:t xml:space="preserve">Publicación de resultados. PROBOSQUE publica el Listado de Personas Beneficiarias del ejercicio y, en su caso, una Lista de espera con solicitudes procedentes que no alcanzaron meta o presupuesto.</w:t>
      </w:r>
    </w:p>
    <w:p>
      <w:pPr>
        <w:pStyle w:val="ListParagraph"/>
        <w:numPr>
          <w:ilvl w:val="0"/>
          <w:numId w:val="1"/>
        </w:numPr>
        <w:spacing w:after="100" w:line="276"/>
        <w:jc w:val="both"/>
      </w:pPr>
      <w:r>
        <w:t xml:space="preserve">Firma del Contrato de Adhesión. La persona beneficiaria (y la segunda persona beneficiaria designada, si aplica) firma el Contrato de Adhesión, en el que se comprometen las obligaciones y actividades del programa.</w:t>
      </w:r>
    </w:p>
    <w:p>
      <w:pPr>
        <w:pStyle w:val="ListParagraph"/>
        <w:numPr>
          <w:ilvl w:val="0"/>
          <w:numId w:val="1"/>
        </w:numPr>
        <w:spacing w:after="100" w:line="276"/>
        <w:jc w:val="both"/>
      </w:pPr>
      <w:r>
        <w:t xml:space="preserve">Primera ministración. PROBOSQUE entrega la primera parte del estímulo económico (comúnmente el 70% del monto asignado) y, cuando corresponde, la planta forestal y el inicio de la asistencia técnica.</w:t>
      </w:r>
    </w:p>
    <w:p>
      <w:pPr>
        <w:pStyle w:val="ListParagraph"/>
        <w:numPr>
          <w:ilvl w:val="0"/>
          <w:numId w:val="1"/>
        </w:numPr>
        <w:spacing w:after="100" w:line="276"/>
        <w:jc w:val="both"/>
      </w:pPr>
      <w:r>
        <w:t xml:space="preserve">Ejecución y seguimiento. El Asesor Técnico/Prestador de Servicios Técnicos Forestales acompaña a la persona beneficiaria en la ejecución de las actividades comprometidas (estudio técnico, obras de conservación, reforestación, trámites de certificación, etc.), mientras personal de PROBOSQUE supervisa el avance.</w:t>
      </w:r>
    </w:p>
    <w:p>
      <w:pPr>
        <w:pStyle w:val="ListParagraph"/>
        <w:numPr>
          <w:ilvl w:val="0"/>
          <w:numId w:val="1"/>
        </w:numPr>
        <w:spacing w:after="100" w:line="276"/>
        <w:jc w:val="both"/>
      </w:pPr>
      <w:r>
        <w:t xml:space="preserve">Verificación de cumplimiento y segunda ministración. Al concluir las actividades, se verifica su cumplimiento (incluido, en su caso, el índice de supervivencia de la reforestación) y se libera la segunda ministración (comúnmente el 30% restante).</w:t>
      </w:r>
    </w:p>
    <w:p>
      <w:pPr>
        <w:spacing w:after="160" w:line="276"/>
        <w:jc w:val="both"/>
      </w:pPr>
      <w:r>
        <w:rPr>
          <w:b/>
          <w:bCs/>
          <w:color w:val="2E5E3E"/>
          <w:sz w:val="18"/>
          <w:szCs w:val="18"/>
          <w:vertAlign w:val="superscript"/>
        </w:rPr>
        <w:t xml:space="preserve"> [49,56,19,20,13]</w:t>
      </w:r>
    </w:p>
    <w:p>
      <w:pPr>
        <w:pStyle w:val="Heading2"/>
        <w:spacing w:after="120" w:before="280"/>
      </w:pPr>
      <w:r>
        <w:t xml:space="preserve">6.4 Fase III — Cierre</w:t>
      </w:r>
    </w:p>
    <w:p>
      <w:pPr>
        <w:pStyle w:val="ListParagraph"/>
        <w:numPr>
          <w:ilvl w:val="0"/>
          <w:numId w:val="1"/>
        </w:numPr>
        <w:spacing w:after="100" w:line="276"/>
        <w:jc w:val="both"/>
      </w:pPr>
      <w:r>
        <w:t xml:space="preserve">Informe de finiquito. La persona beneficiaria, con apoyo de su Asesor Técnico, presenta el informe final o de finiquito de las actividades comprometidas.</w:t>
      </w:r>
    </w:p>
    <w:p>
      <w:pPr>
        <w:pStyle w:val="ListParagraph"/>
        <w:numPr>
          <w:ilvl w:val="0"/>
          <w:numId w:val="1"/>
        </w:numPr>
        <w:spacing w:after="100" w:line="276"/>
        <w:jc w:val="both"/>
      </w:pPr>
      <w:r>
        <w:t xml:space="preserve">Verificación final. PROBOSQUE, a través de la Instancia Ejecutora, valida en campo y gabinete que las actividades se ejecutaron conforme al Contrato de Adhesión y a las Reglas de Operación.</w:t>
      </w:r>
    </w:p>
    <w:p>
      <w:pPr>
        <w:pStyle w:val="ListParagraph"/>
        <w:numPr>
          <w:ilvl w:val="0"/>
          <w:numId w:val="1"/>
        </w:numPr>
        <w:spacing w:after="100" w:line="276"/>
        <w:jc w:val="both"/>
      </w:pPr>
      <w:r>
        <w:t xml:space="preserve">Cierre del expediente. Con la verificación final favorable, se cierra administrativamente el expediente del beneficiario para ese concepto de apoyo.</w:t>
      </w:r>
    </w:p>
    <w:p>
      <w:pPr>
        <w:pStyle w:val="ListParagraph"/>
        <w:numPr>
          <w:ilvl w:val="0"/>
          <w:numId w:val="1"/>
        </w:numPr>
        <w:spacing w:after="100" w:line="276"/>
        <w:jc w:val="both"/>
      </w:pPr>
      <w:r>
        <w:t xml:space="preserve">Manejo de incumplimientos. Si se detectan irregularidades o incumplimientos, la instancia responsable puede negar la segunda ministración, exigir el reintegro de recursos e incorporar a la persona beneficiaria al Listado de Personas Beneficiarias Incumplidas, documento público que PROBOSQUE actualiza periódicamente y que inhabilita a la persona para recibir nuevos apoyos mientras subsista la sanción.</w:t>
      </w:r>
    </w:p>
    <w:p>
      <w:pPr>
        <w:pStyle w:val="ListParagraph"/>
        <w:numPr>
          <w:ilvl w:val="0"/>
          <w:numId w:val="1"/>
        </w:numPr>
        <w:spacing w:after="100" w:line="276"/>
        <w:jc w:val="both"/>
      </w:pPr>
      <w:r>
        <w:t xml:space="preserve">Rendición de cuentas. Los listados de personas beneficiarias, las listas de espera y los listados de incumplidos se publican en el portal de convocatorias de PROBOSQUE como mecanismo de transparencia.</w:t>
      </w:r>
    </w:p>
    <w:p>
      <w:pPr>
        <w:spacing w:after="160" w:line="276"/>
        <w:jc w:val="both"/>
      </w:pPr>
      <w:r>
        <w:rPr>
          <w:b/>
          <w:bCs/>
          <w:color w:val="2E5E3E"/>
          <w:sz w:val="18"/>
          <w:szCs w:val="18"/>
          <w:vertAlign w:val="superscript"/>
        </w:rPr>
        <w:t xml:space="preserve"> [19,1]</w:t>
      </w:r>
    </w:p>
    <w:p>
      <w:pPr>
        <w:pStyle w:val="Heading2"/>
        <w:spacing w:after="120" w:before="280"/>
      </w:pPr>
      <w:r>
        <w:t xml:space="preserve">6.5 Esquema resumido del flujo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200"/>
      </w:tblGrid>
      <w:tr>
        <w:trPr>
          <w:tblHeader/>
        </w:trPr>
        <w:tc>
          <w:tcPr>
            <w:tcW w:type="dxa" w:w="1600"/>
            <w:shd w:fill="1F3B57" w:val="clear"/>
            <w:tcMar>
              <w:top w:type="dxa" w:w="100"/>
              <w:left w:type="dxa" w:w="120"/>
              <w:bottom w:type="dxa" w:w="100"/>
              <w:right w:type="dxa" w:w="120"/>
            </w:tcMar>
            <w:vAlign w:val="center"/>
          </w:tcPr>
          <w:p>
            <w:pPr>
              <w:spacing w:after="60"/>
            </w:pPr>
            <w:r>
              <w:rPr>
                <w:b/>
                <w:bCs/>
                <w:color w:val="FFFFFF"/>
                <w:sz w:val="20"/>
                <w:szCs w:val="20"/>
              </w:rPr>
              <w:t xml:space="preserve">Fase</w:t>
            </w:r>
          </w:p>
        </w:tc>
        <w:tc>
          <w:tcPr>
            <w:tcW w:type="dxa" w:w="3800"/>
            <w:shd w:fill="1F3B57" w:val="clear"/>
            <w:tcMar>
              <w:top w:type="dxa" w:w="100"/>
              <w:left w:type="dxa" w:w="120"/>
              <w:bottom w:type="dxa" w:w="100"/>
              <w:right w:type="dxa" w:w="120"/>
            </w:tcMar>
            <w:vAlign w:val="center"/>
          </w:tcPr>
          <w:p>
            <w:pPr>
              <w:spacing w:after="60"/>
            </w:pPr>
            <w:r>
              <w:rPr>
                <w:b/>
                <w:bCs/>
                <w:color w:val="FFFFFF"/>
                <w:sz w:val="20"/>
                <w:szCs w:val="20"/>
              </w:rPr>
              <w:t xml:space="preserve">Paso</w:t>
            </w:r>
          </w:p>
        </w:tc>
        <w:tc>
          <w:tcPr>
            <w:tcW w:type="dxa" w:w="4200"/>
            <w:shd w:fill="1F3B57" w:val="clear"/>
            <w:tcMar>
              <w:top w:type="dxa" w:w="100"/>
              <w:left w:type="dxa" w:w="120"/>
              <w:bottom w:type="dxa" w:w="100"/>
              <w:right w:type="dxa" w:w="120"/>
            </w:tcMar>
            <w:vAlign w:val="center"/>
          </w:tcPr>
          <w:p>
            <w:pPr>
              <w:spacing w:after="60"/>
            </w:pPr>
            <w:r>
              <w:rPr>
                <w:b/>
                <w:bCs/>
                <w:color w:val="FFFFFF"/>
                <w:sz w:val="20"/>
                <w:szCs w:val="20"/>
              </w:rPr>
              <w:t xml:space="preserve">Responsable</w:t>
            </w:r>
          </w:p>
        </w:tc>
      </w:tr>
      <w:tr>
        <w:tc>
          <w:tcPr>
            <w:tcW w:type="dxa" w:w="1600"/>
            <w:shd w:fill="E8F1EA" w:val="clear"/>
            <w:tcMar>
              <w:top w:type="dxa" w:w="100"/>
              <w:left w:type="dxa" w:w="120"/>
              <w:bottom w:type="dxa" w:w="100"/>
              <w:right w:type="dxa" w:w="120"/>
            </w:tcMar>
            <w:vAlign w:val="center"/>
          </w:tcPr>
          <w:p>
            <w:pPr>
              <w:spacing w:after="60"/>
            </w:pPr>
            <w:r>
              <w:rPr>
                <w:b w:val="false"/>
                <w:bCs w:val="false"/>
                <w:sz w:val="20"/>
                <w:szCs w:val="20"/>
              </w:rPr>
              <w:t xml:space="preserve">Convocatoria</w:t>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1. Publicación de Convocatoria y Reglas de Operación en Gaceta del Gobierno</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Secretaría del Campo / PROBOSQUE (Dirección General)</w:t>
            </w:r>
          </w:p>
        </w:tc>
      </w:tr>
      <w:tr>
        <w:tc>
          <w:tcPr>
            <w:tcW w:type="dxa" w:w="1600"/>
            <w:shd w:fill="E8F1EA"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2. Difusión y publicación de formatos, guías y mapas de elegibilidad</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PROBOSQUE</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Operación</w:t>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3. Recepción de solicitud y documentación</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Ventanilla Única de Trámites Forestales / Delegaciones Regionales Forestales</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4. Integración y turnado del expediente</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Delegación Regional Forestal → Dirección de Restauración y Fomento Forestal</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5. Dictaminación técnica y jurídica</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Departamento de Estudios de Manejo Integral Forestal + Unidad Jurídica y de Igualdad de Género</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6. Verificación de campo (cuando aplica)</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Comisión de Verificación Técnica (PROBOSQUE-CONAFOR-CAEM)</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7. Calificación, aprobación y asignación de recursos</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Comité de Admisión y Seguimiento del Programa</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8. Publicación del listado de personas beneficiarias / lista de espera</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PROBOSQUE</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9. Firma del Contrato de Adhesión</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Persona beneficiaria y PROBOSQUE</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10. Primera ministración, entrega de planta y asistencia técnica</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PROBOSQUE / Asesor Técnico</w:t>
            </w:r>
          </w:p>
        </w:tc>
      </w:tr>
      <w:tr>
        <w:tc>
          <w:tcPr>
            <w:tcW w:type="dxa" w:w="1600"/>
            <w:shd w:fill="F2F2F2"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11. Ejecución, supervisión y segunda ministración condicionada</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Beneficiario, Asesor Técnico, PROBOSQUE</w:t>
            </w:r>
          </w:p>
        </w:tc>
      </w:tr>
      <w:tr>
        <w:tc>
          <w:tcPr>
            <w:tcW w:type="dxa" w:w="1600"/>
            <w:shd w:fill="F5EEDD" w:val="clear"/>
            <w:tcMar>
              <w:top w:type="dxa" w:w="100"/>
              <w:left w:type="dxa" w:w="120"/>
              <w:bottom w:type="dxa" w:w="100"/>
              <w:right w:type="dxa" w:w="120"/>
            </w:tcMar>
            <w:vAlign w:val="center"/>
          </w:tcPr>
          <w:p>
            <w:pPr>
              <w:spacing w:after="60"/>
            </w:pPr>
            <w:r>
              <w:rPr>
                <w:b w:val="false"/>
                <w:bCs w:val="false"/>
                <w:sz w:val="20"/>
                <w:szCs w:val="20"/>
              </w:rPr>
              <w:t xml:space="preserve">Cierre</w:t>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12. Informe de finiquito y verificación final</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Asesor Técnico / Dirección de Restauración y Fomento Forestal</w:t>
            </w:r>
          </w:p>
        </w:tc>
      </w:tr>
      <w:tr>
        <w:tc>
          <w:tcPr>
            <w:tcW w:type="dxa" w:w="1600"/>
            <w:shd w:fill="F5EEDD" w:val="clear"/>
            <w:tcMar>
              <w:top w:type="dxa" w:w="100"/>
              <w:left w:type="dxa" w:w="120"/>
              <w:bottom w:type="dxa" w:w="100"/>
              <w:right w:type="dxa" w:w="120"/>
            </w:tcMar>
            <w:vAlign w:val="center"/>
          </w:tcPr>
          <w:p>
            <w:pPr>
              <w:spacing w:after="60"/>
            </w:pPr>
            <w:r>
              <w:rPr>
                <w:b w:val="false"/>
                <w:bCs w:val="false"/>
                <w:sz w:val="20"/>
                <w:szCs w:val="20"/>
              </w:rPr>
              <w:t xml:space="preserve"/>
            </w:r>
          </w:p>
        </w:tc>
        <w:tc>
          <w:tcPr>
            <w:tcW w:type="dxa" w:w="3800"/>
            <w:tcMar>
              <w:top w:type="dxa" w:w="100"/>
              <w:left w:type="dxa" w:w="120"/>
              <w:bottom w:type="dxa" w:w="100"/>
              <w:right w:type="dxa" w:w="120"/>
            </w:tcMar>
            <w:vAlign w:val="center"/>
          </w:tcPr>
          <w:p>
            <w:pPr>
              <w:spacing w:after="60"/>
            </w:pPr>
            <w:r>
              <w:rPr>
                <w:b w:val="false"/>
                <w:bCs w:val="false"/>
                <w:sz w:val="20"/>
                <w:szCs w:val="20"/>
              </w:rPr>
              <w:t xml:space="preserve">13. Cierre del expediente o, en su caso, sanción e inclusión en el listado de incumplidos</w:t>
            </w:r>
          </w:p>
        </w:tc>
        <w:tc>
          <w:tcPr>
            <w:tcW w:type="dxa" w:w="4200"/>
            <w:tcMar>
              <w:top w:type="dxa" w:w="100"/>
              <w:left w:type="dxa" w:w="120"/>
              <w:bottom w:type="dxa" w:w="100"/>
              <w:right w:type="dxa" w:w="120"/>
            </w:tcMar>
            <w:vAlign w:val="center"/>
          </w:tcPr>
          <w:p>
            <w:pPr>
              <w:spacing w:after="60"/>
            </w:pPr>
            <w:r>
              <w:rPr>
                <w:b w:val="false"/>
                <w:bCs w:val="false"/>
                <w:sz w:val="20"/>
                <w:szCs w:val="20"/>
              </w:rPr>
              <w:t xml:space="preserve">PROBOSQUE</w:t>
            </w:r>
          </w:p>
        </w:tc>
      </w:tr>
    </w:tbl>
    <w:p>
      <w:pPr>
        <w:spacing w:after="200"/>
        <w:jc w:val="both"/>
      </w:pPr>
      <w:r>
        <w:t xml:space="preserve"/>
      </w:r>
    </w:p>
    <w:p>
      <w:pPr>
        <w:pStyle w:val="Heading1"/>
        <w:pBdr>
          <w:bottom w:val="single" w:color="2E5E3E" w:sz="8" w:space="4"/>
        </w:pBdr>
        <w:spacing w:after="160" w:before="360"/>
      </w:pPr>
      <w:r>
        <w:t xml:space="preserve">7. Síntesis</w:t>
      </w:r>
    </w:p>
    <w:p>
      <w:pPr>
        <w:spacing w:after="160" w:line="276"/>
        <w:jc w:val="both"/>
      </w:pPr>
      <w:r>
        <w:t xml:space="preserve">El programa de apoyo de Restauración y Manejo Forestal Sustentable de PROBOSQUE es un instrumento estatal, de carácter anual y gratuito para el beneficiario, mediante el cual el Gobierno del Estado de México, a través de la Secretaría del Campo y PROBOSQUE, entrega estímulos económicos, planta forestal y asistencia técnica a núcleos agrarios y personas físicas o jurídico-colectivas propietarias o poseedoras de terrenos forestales, con el fin de impulsar la protección, conservación, restauración y manejo sustentable —incluida la certificación internacional FSC— de los bosques mexiquenses. Su operación sigue un flujo institucional claramente secuenciado: publicación de la Convocatoria, recepción y dictaminación técnico-jurídica de solicitudes, resolución de un comité colegiado interinstitucional (Comité de Admisión y Seguimiento), ministraciones económicas condicionadas al cumplimiento, y un cierre formal mediante informe de finiquito y verificación, con mecanismos de transparencia (listados de beneficiarios, listas de espera y listado de incumplidos) y de sanción para quienes no cumplen sus compromisos.</w:t>
      </w:r>
    </w:p>
    <w:p>
      <w:r>
        <w:br w:type="page"/>
      </w:r>
    </w:p>
    <w:p>
      <w:pPr>
        <w:pStyle w:val="Heading1"/>
        <w:pBdr>
          <w:bottom w:val="single" w:color="2E5E3E" w:sz="8" w:space="4"/>
        </w:pBdr>
        <w:spacing w:after="160" w:before="360"/>
      </w:pPr>
      <w:r>
        <w:t xml:space="preserve">Referencias</w:t>
      </w:r>
    </w:p>
    <w:p>
      <w:pPr>
        <w:spacing w:after="160" w:line="276"/>
        <w:jc w:val="both"/>
      </w:pPr>
      <w:r>
        <w:t xml:space="preserve">Todas las direcciones electrónicas (URL) fueron consultadas el 12 de septiembre de 2026.</w:t>
      </w:r>
    </w:p>
    <w:p>
      <w:pPr>
        <w:spacing w:after="160" w:line="264"/>
        <w:ind w:left="360" w:hanging="360"/>
      </w:pPr>
      <w:r>
        <w:rPr>
          <w:b/>
          <w:bCs/>
        </w:rPr>
        <w:t xml:space="preserve">[1] </w:t>
      </w:r>
      <w:r>
        <w:t xml:space="preserve">PROBOSQUE. (s.f.). Convocatorias. Gobierno del Estado de México. </w:t>
      </w:r>
      <w:hyperlink w:history="1" r:id="rIdpqlfjiyw3psx1wnicjqbn">
        <w:r>
          <w:rPr>
            <w:color w:val="1155CC"/>
            <w:u w:val="single"/>
          </w:rPr>
          <w:t xml:space="preserve">http://probosque.edomex.gob.mx/convocatorias</w:t>
        </w:r>
      </w:hyperlink>
    </w:p>
    <w:p>
      <w:pPr>
        <w:spacing w:after="160" w:line="264"/>
        <w:ind w:left="360" w:hanging="360"/>
      </w:pPr>
      <w:r>
        <w:rPr>
          <w:b/>
          <w:bCs/>
        </w:rPr>
        <w:t xml:space="preserve">[2] </w:t>
      </w:r>
      <w:r>
        <w:t xml:space="preserve">Secretaría del Campo del Estado de México. (10 de febrero de 2024). Invita Secretaría del Campo a inscribirse a los programas de Probosque. </w:t>
      </w:r>
      <w:hyperlink w:history="1" r:id="rId-zaiu2z6sx21wqhseqxz-">
        <w:r>
          <w:rPr>
            <w:color w:val="1155CC"/>
            <w:u w:val="single"/>
          </w:rPr>
          <w:t xml:space="preserve">https://secampo.edomex.gob.mx/node/570</w:t>
        </w:r>
      </w:hyperlink>
    </w:p>
    <w:p>
      <w:pPr>
        <w:spacing w:after="160" w:line="264"/>
        <w:ind w:left="360" w:hanging="360"/>
      </w:pPr>
      <w:r>
        <w:rPr>
          <w:b/>
          <w:bCs/>
        </w:rPr>
        <w:t xml:space="preserve">[3] </w:t>
      </w:r>
      <w:r>
        <w:t xml:space="preserve">ejecentral. (14 de febrero de 2026). Probosque abre Programas Forestales 2026 con apoyos de hasta 165 mil pesos en Edomex: quiénes pueden recibir el apoyo y cómo registrarse. </w:t>
      </w:r>
      <w:hyperlink w:history="1" r:id="rIdwshwnrc4ngwt3wre_iamk">
        <w:r>
          <w:rPr>
            <w:color w:val="1155CC"/>
            <w:u w:val="single"/>
          </w:rPr>
          <w:t xml:space="preserve">https://www.ejecentral.com.mx/nuestro-eje/probosque-abre-programas-forestales-2026-con-apoyos-de-hasta-165-mil-pesos-en-edomex-quienes-pueden-recibir-el-apoyo-y-como-registrarse</w:t>
        </w:r>
      </w:hyperlink>
    </w:p>
    <w:p>
      <w:pPr>
        <w:spacing w:after="160" w:line="264"/>
        <w:ind w:left="360" w:hanging="360"/>
      </w:pPr>
      <w:r>
        <w:rPr>
          <w:b/>
          <w:bCs/>
        </w:rPr>
        <w:t xml:space="preserve">[4] </w:t>
      </w:r>
      <w:r>
        <w:t xml:space="preserve">Capital Estado de México. (7 de febrero de 2026). Probosque lanza programas de apoyo con hasta 165 mil pesos para dueños de terrenos forestales. </w:t>
      </w:r>
      <w:hyperlink w:history="1" r:id="rId_b5wt9lyepkbxc8q5q4ox">
        <w:r>
          <w:rPr>
            <w:color w:val="1155CC"/>
            <w:u w:val="single"/>
          </w:rPr>
          <w:t xml:space="preserve">https://www.capitaledomex.com.mx/local/probosque-lanza-programas-de-apoyo-con-hasta-165-mil-pesos-para-duenos-de-terrenos-forestales/</w:t>
        </w:r>
      </w:hyperlink>
    </w:p>
    <w:p>
      <w:pPr>
        <w:spacing w:after="160" w:line="264"/>
        <w:ind w:left="360" w:hanging="360"/>
      </w:pPr>
      <w:r>
        <w:rPr>
          <w:b/>
          <w:bCs/>
        </w:rPr>
        <w:t xml:space="preserve">[5] </w:t>
      </w:r>
      <w:r>
        <w:t xml:space="preserve">Edomex al Día. (9 de febrero de 2025). Lanzan SeCampo y Probosque programas de asesoría, restauración y manejo sostenible de zonas forestales del Estado de México. </w:t>
      </w:r>
      <w:hyperlink w:history="1" r:id="rIdam7uuv4pagrbwyk2ka6lc">
        <w:r>
          <w:rPr>
            <w:color w:val="1155CC"/>
            <w:u w:val="single"/>
          </w:rPr>
          <w:t xml:space="preserve">https://edomexaldia.com/lanzan-secampo-y-probosque-programas-de-asesoria-restauracion-y-manejo-sostenible-de-zonas-forestales-del-estado-de-mexico/</w:t>
        </w:r>
      </w:hyperlink>
    </w:p>
    <w:p>
      <w:pPr>
        <w:spacing w:after="160" w:line="264"/>
        <w:ind w:left="360" w:hanging="360"/>
      </w:pPr>
      <w:r>
        <w:rPr>
          <w:b/>
          <w:bCs/>
        </w:rPr>
        <w:t xml:space="preserve">[6] </w:t>
      </w:r>
      <w:r>
        <w:t xml:space="preserve">Mi Escaparate. (14 de junio de 2026). Probosque cumple 36 años protegiendo los bosques del Estado de México y estos son los resultados. </w:t>
      </w:r>
      <w:hyperlink w:history="1" r:id="rIdent6gdoupy2hqdk5wy3pi">
        <w:r>
          <w:rPr>
            <w:color w:val="1155CC"/>
            <w:u w:val="single"/>
          </w:rPr>
          <w:t xml:space="preserve">https://miescaparate.com.mx/probosque-36-anos-bosques-estado-de-mexico/</w:t>
        </w:r>
      </w:hyperlink>
    </w:p>
    <w:p>
      <w:pPr>
        <w:spacing w:after="160" w:line="264"/>
        <w:ind w:left="360" w:hanging="360"/>
      </w:pPr>
      <w:r>
        <w:rPr>
          <w:b/>
          <w:bCs/>
        </w:rPr>
        <w:t xml:space="preserve">[7] </w:t>
      </w:r>
      <w:r>
        <w:t xml:space="preserve">La Noticia. (14 de junio de 2026). Celebra Probosque 36 años de servicio a favor de los bosques mexiquenses. </w:t>
      </w:r>
      <w:hyperlink w:history="1" r:id="rIdgaaldrrz9zslwdbwtzrcf">
        <w:r>
          <w:rPr>
            <w:color w:val="1155CC"/>
            <w:u w:val="single"/>
          </w:rPr>
          <w:t xml:space="preserve">https://www.lanoticiaes.com/post/celebra-probosque-36-a%C3%B1os-de-servicio-a-favor-de-los-bosques-mexiquenses</w:t>
        </w:r>
      </w:hyperlink>
    </w:p>
    <w:p>
      <w:pPr>
        <w:spacing w:after="160" w:line="264"/>
        <w:ind w:left="360" w:hanging="360"/>
      </w:pPr>
      <w:r>
        <w:rPr>
          <w:b/>
          <w:bCs/>
        </w:rPr>
        <w:t xml:space="preserve">[8] </w:t>
      </w:r>
      <w:r>
        <w:t xml:space="preserve">Agencia de Noticias MX. (14 de junio de 2026). Celebra Probosque 36 años de servicio a favor de los bosques mexiquenses. </w:t>
      </w:r>
      <w:hyperlink w:history="1" r:id="rIdxwmbprkjbl1dotndczaf9">
        <w:r>
          <w:rPr>
            <w:color w:val="1155CC"/>
            <w:u w:val="single"/>
          </w:rPr>
          <w:t xml:space="preserve">https://www.agenciadenoticiasmx.com/2026/06/14/celebra-probosque-36-anos-de-servicio-a-favor-de-los-bosques-mexiquenses/</w:t>
        </w:r>
      </w:hyperlink>
    </w:p>
    <w:p>
      <w:pPr>
        <w:spacing w:after="160" w:line="264"/>
        <w:ind w:left="360" w:hanging="360"/>
      </w:pPr>
      <w:r>
        <w:rPr>
          <w:b/>
          <w:bCs/>
        </w:rPr>
        <w:t xml:space="preserve">[9] </w:t>
      </w:r>
      <w:r>
        <w:t xml:space="preserve">PROBOSQUE. (s.f.). Aprovechamiento forestal maderable. </w:t>
      </w:r>
      <w:hyperlink w:history="1" r:id="rIdalnh2g8qbug808pdspnyi">
        <w:r>
          <w:rPr>
            <w:color w:val="1155CC"/>
            <w:u w:val="single"/>
          </w:rPr>
          <w:t xml:space="preserve">https://probosquedesa.edomex.gob.mx/aprovechamiento_forestal</w:t>
        </w:r>
      </w:hyperlink>
    </w:p>
    <w:p>
      <w:pPr>
        <w:spacing w:after="160" w:line="264"/>
        <w:ind w:left="360" w:hanging="360"/>
      </w:pPr>
      <w:r>
        <w:rPr>
          <w:b/>
          <w:bCs/>
        </w:rPr>
        <w:t xml:space="preserve">[10] </w:t>
      </w:r>
      <w:r>
        <w:t xml:space="preserve">Legislación del Estado de México. (27 de mayo de 2009, reformas 2015). Reglamento Interno del Comité Técnico del Fideicomiso para el Pago por Servicios Ambientales Hidrológicos del Estado de México (FIPASAHEM). </w:t>
      </w:r>
      <w:hyperlink w:history="1" r:id="rIdet3kwgptwteodrwknzipb">
        <w:r>
          <w:rPr>
            <w:color w:val="1155CC"/>
            <w:u w:val="single"/>
          </w:rPr>
          <w:t xml:space="preserve">https://legislacion.edomex.gob.mx/sites/legislacion.edomex.gob.mx/files/files/pdf/rgl/vig/rglvig392.pdf</w:t>
        </w:r>
      </w:hyperlink>
    </w:p>
    <w:p>
      <w:pPr>
        <w:spacing w:after="160" w:line="264"/>
        <w:ind w:left="360" w:hanging="360"/>
      </w:pPr>
      <w:r>
        <w:rPr>
          <w:b/>
          <w:bCs/>
        </w:rPr>
        <w:t xml:space="preserve">[11] </w:t>
      </w:r>
      <w:r>
        <w:t xml:space="preserve">Legislación del Estado de México. Reglamento Interno del Comité Técnico del FIPASAHEM (referencia a la Comisión de Verificación Técnica). </w:t>
      </w:r>
      <w:hyperlink w:history="1" r:id="rIduh0nfcws1x8n-__l8sq7h">
        <w:r>
          <w:rPr>
            <w:color w:val="1155CC"/>
            <w:u w:val="single"/>
          </w:rPr>
          <w:t xml:space="preserve">https://legislacion.edomex.gob.mx/sites/legislacion.edomex.gob.mx/files/files/pdf/rgl/vig/rglvig392.pdf</w:t>
        </w:r>
      </w:hyperlink>
    </w:p>
    <w:p>
      <w:pPr>
        <w:spacing w:after="160" w:line="264"/>
        <w:ind w:left="360" w:hanging="360"/>
      </w:pPr>
      <w:r>
        <w:rPr>
          <w:b/>
          <w:bCs/>
        </w:rPr>
        <w:t xml:space="preserve">[12] </w:t>
      </w:r>
      <w:r>
        <w:t xml:space="preserve">Vértigo Político. (8 de febrero de 2021). Emite Edomex reglas de operación de los programas de Probosque del ejercicio fiscal 2021. </w:t>
      </w:r>
      <w:hyperlink w:history="1" r:id="rId4tipvqekrid48416tnoak">
        <w:r>
          <w:rPr>
            <w:color w:val="1155CC"/>
            <w:u w:val="single"/>
          </w:rPr>
          <w:t xml:space="preserve">https://www.vertigopolitico.com/nacional/estados/notas/emite-edomex-reglas-de-operacion-de-los-programas-de-probosque-del-ejercicio-fiscal-2021</w:t>
        </w:r>
      </w:hyperlink>
    </w:p>
    <w:p>
      <w:pPr>
        <w:spacing w:after="160" w:line="264"/>
        <w:ind w:left="360" w:hanging="360"/>
      </w:pPr>
      <w:r>
        <w:rPr>
          <w:b/>
          <w:bCs/>
        </w:rPr>
        <w:t xml:space="preserve">[13] </w:t>
      </w:r>
      <w:r>
        <w:t xml:space="preserve">PROBOSQUE. (s.f.). Aprovechamiento forestal maderable. </w:t>
      </w:r>
      <w:hyperlink w:history="1" r:id="rIds2_weh0nthmlqaa-2uzr1">
        <w:r>
          <w:rPr>
            <w:color w:val="1155CC"/>
            <w:u w:val="single"/>
          </w:rPr>
          <w:t xml:space="preserve">http://probosque.edomex.gob.mx/aprovechamiento_forestal</w:t>
        </w:r>
      </w:hyperlink>
    </w:p>
    <w:p>
      <w:pPr>
        <w:spacing w:after="160" w:line="264"/>
        <w:ind w:left="360" w:hanging="360"/>
      </w:pPr>
      <w:r>
        <w:rPr>
          <w:b/>
          <w:bCs/>
        </w:rPr>
        <w:t xml:space="preserve">[14] </w:t>
      </w:r>
      <w:r>
        <w:t xml:space="preserve">asisucede.com.mx. (14 de febrero de 2023). GEM difunde Convocatoria 2023 de las Reglas de Operación de Probosque. </w:t>
      </w:r>
      <w:hyperlink w:history="1" r:id="rIdsu7vrwfeunvxsof_tjbwn">
        <w:r>
          <w:rPr>
            <w:color w:val="1155CC"/>
            <w:u w:val="single"/>
          </w:rPr>
          <w:t xml:space="preserve">https://asisucede.com.mx/gem-difunde-convocatoria-2023-de-las-reglas-de-operacion-de-probosque/</w:t>
        </w:r>
      </w:hyperlink>
    </w:p>
    <w:p>
      <w:pPr>
        <w:spacing w:after="160" w:line="264"/>
        <w:ind w:left="360" w:hanging="360"/>
      </w:pPr>
      <w:r>
        <w:rPr>
          <w:b/>
          <w:bCs/>
        </w:rPr>
        <w:t xml:space="preserve">[15] </w:t>
      </w:r>
      <w:r>
        <w:t xml:space="preserve">Heraldo del Estado de México / hgrupoeditorial.com. (15 de febrero de 2023). Difunde GEM convocatoria 2023 de las Reglas de Operación de Programas de Probosque. </w:t>
      </w:r>
      <w:hyperlink w:history="1" r:id="rIdjh551bspxzjff4cw30m2h">
        <w:r>
          <w:rPr>
            <w:color w:val="1155CC"/>
            <w:u w:val="single"/>
          </w:rPr>
          <w:t xml:space="preserve">https://hgrupoeditorial.com/difunde-gem-convocatoria-2023-de-las-reglas-de-operacion-de-programas-de-probosque/</w:t>
        </w:r>
      </w:hyperlink>
    </w:p>
    <w:p>
      <w:pPr>
        <w:spacing w:after="160" w:line="264"/>
        <w:ind w:left="360" w:hanging="360"/>
      </w:pPr>
      <w:r>
        <w:rPr>
          <w:b/>
          <w:bCs/>
        </w:rPr>
        <w:t xml:space="preserve">[16] </w:t>
      </w:r>
      <w:r>
        <w:t xml:space="preserve">PROBOSQUE. (s.f.). Reforestando EDOMÉX. </w:t>
      </w:r>
      <w:hyperlink w:history="1" r:id="rIdkwytebayu1luzfykzkowu">
        <w:r>
          <w:rPr>
            <w:color w:val="1155CC"/>
            <w:u w:val="single"/>
          </w:rPr>
          <w:t xml:space="preserve">http://probosquedesa.edomex.gob.mx/reforestando_edomex</w:t>
        </w:r>
      </w:hyperlink>
    </w:p>
    <w:p>
      <w:pPr>
        <w:spacing w:after="160" w:line="264"/>
        <w:ind w:left="360" w:hanging="360"/>
      </w:pPr>
      <w:r>
        <w:rPr>
          <w:b/>
          <w:bCs/>
        </w:rPr>
        <w:t xml:space="preserve">[17] </w:t>
      </w:r>
      <w:r>
        <w:t xml:space="preserve">Periódico Oficial Gaceta del Gobierno y LEGISTEL. Índice de reglamentos internos de comités de PROBOSQUE (incluye Comité de Admisión y Seguimiento del Programa Manejo Forestal Sustentable). </w:t>
      </w:r>
      <w:hyperlink w:history="1" r:id="rIdkpqwy-cgjzu2kahvytzli">
        <w:r>
          <w:rPr>
            <w:color w:val="1155CC"/>
            <w:u w:val="single"/>
          </w:rPr>
          <w:t xml:space="preserve">https://legislacion.edomex.gob.mx/index.php/node/36057</w:t>
        </w:r>
      </w:hyperlink>
    </w:p>
    <w:p>
      <w:pPr>
        <w:spacing w:after="160" w:line="264"/>
        <w:ind w:left="360" w:hanging="360"/>
      </w:pPr>
      <w:r>
        <w:rPr>
          <w:b/>
          <w:bCs/>
        </w:rPr>
        <w:t xml:space="preserve">[19] </w:t>
      </w:r>
      <w:r>
        <w:t xml:space="preserve">Gobierno del Estado de México / Secretaría de Finanzas. (2024). Reglas de Operación del Programa Manejo Forestal Sustentable, ejercicio fiscal 2024. </w:t>
      </w:r>
      <w:hyperlink w:history="1" r:id="rId5yvhhiqapugg6ibtx_u-m">
        <w:r>
          <w:rPr>
            <w:color w:val="1155CC"/>
            <w:u w:val="single"/>
          </w:rPr>
          <w:t xml:space="preserve">https://transparenciafiscal.edomex.gob.mx/sites/transparenciafiscal.edomex.gob.mx/files/files/informacion/ROPS/2024/SECCAM-Manejo-Forestal-Sustentable.pdf</w:t>
        </w:r>
      </w:hyperlink>
    </w:p>
    <w:p>
      <w:pPr>
        <w:spacing w:after="160" w:line="264"/>
        <w:ind w:left="360" w:hanging="360"/>
      </w:pPr>
      <w:r>
        <w:rPr>
          <w:b/>
          <w:bCs/>
        </w:rPr>
        <w:t xml:space="preserve">[20] </w:t>
      </w:r>
      <w:r>
        <w:t xml:space="preserve">PROBOSQUE. (s.f.). Reforestando EDOMÉX (Convocatoria 2021). </w:t>
      </w:r>
      <w:hyperlink w:history="1" r:id="rId97c1jmdhqkc1rmel4scvi">
        <w:r>
          <w:rPr>
            <w:color w:val="1155CC"/>
            <w:u w:val="single"/>
          </w:rPr>
          <w:t xml:space="preserve">http://probosquedesa.edomex.gob.mx/reforestando_edomex</w:t>
        </w:r>
      </w:hyperlink>
    </w:p>
    <w:p>
      <w:pPr>
        <w:spacing w:after="160" w:line="264"/>
        <w:ind w:left="360" w:hanging="360"/>
      </w:pPr>
      <w:r>
        <w:rPr>
          <w:b/>
          <w:bCs/>
        </w:rPr>
        <w:t xml:space="preserve">[21] </w:t>
      </w:r>
      <w:r>
        <w:t xml:space="preserve">PROBOSQUE. (s.f.). Reforestando EDOMÉX (Convocatoria 2023). </w:t>
      </w:r>
      <w:hyperlink w:history="1" r:id="rIdjoxwjn4iajhwsuqolberd">
        <w:r>
          <w:rPr>
            <w:color w:val="1155CC"/>
            <w:u w:val="single"/>
          </w:rPr>
          <w:t xml:space="preserve">http://probosque.edomex.gob.mx/reforestando_edomex</w:t>
        </w:r>
      </w:hyperlink>
    </w:p>
    <w:p>
      <w:pPr>
        <w:spacing w:after="160" w:line="264"/>
        <w:ind w:left="360" w:hanging="360"/>
      </w:pPr>
      <w:r>
        <w:rPr>
          <w:b/>
          <w:bCs/>
        </w:rPr>
        <w:t xml:space="preserve">[41] </w:t>
      </w:r>
      <w:r>
        <w:t xml:space="preserve">Gobierno del Estado de México / Secretaría de Finanzas. (27 de enero de 2026). Convocatoria y Reglas de Operación 2026 de los Programas Pago por Servicios Ambientales Hidrológicos, Restauración Hidrológico-Forestal, Capturando Carbono, Plantaciones Sustentables y Manejo Forestal Sustentable. Periódico Oficial Gaceta del Gobierno. </w:t>
      </w:r>
      <w:hyperlink w:history="1" r:id="rIdruitusytys-qwyom4u9rd">
        <w:r>
          <w:rPr>
            <w:color w:val="1155CC"/>
            <w:u w:val="single"/>
          </w:rPr>
          <w:t xml:space="preserve">https://legislacion.edomex.gob.mx/sites/legislacion.edomex.gob.mx/files/files/pdf/gct/2026/enero/ene271/ene271h.pdf</w:t>
        </w:r>
      </w:hyperlink>
    </w:p>
    <w:p>
      <w:pPr>
        <w:spacing w:after="160" w:line="264"/>
        <w:ind w:left="360" w:hanging="360"/>
      </w:pPr>
      <w:r>
        <w:rPr>
          <w:b/>
          <w:bCs/>
        </w:rPr>
        <w:t xml:space="preserve">[46] </w:t>
      </w:r>
      <w:r>
        <w:t xml:space="preserve">Periódico Oficial Gaceta del Gobierno. (29 de enero de 2025). Convocatoria para participar en los Programas Pago por Servicios Ambientales Hidrológicos, Restauración Ecológica de Ecosistemas Forestales, Capturando Carbono, Plantaciones Sustentables y Manejo Forestal Sustentable. </w:t>
      </w:r>
      <w:hyperlink w:history="1" r:id="rIdkqfjexk-sx8ugpalpqny5">
        <w:r>
          <w:rPr>
            <w:color w:val="1155CC"/>
            <w:u w:val="single"/>
          </w:rPr>
          <w:t xml:space="preserve">https://legislacion.edomex.gob.mx/sites/legislacion.edomex.gob.mx/files/files/pdf/gct/2025/enero/ene292/ene292a.pdf</w:t>
        </w:r>
      </w:hyperlink>
    </w:p>
    <w:p>
      <w:pPr>
        <w:spacing w:after="160" w:line="264"/>
        <w:ind w:left="360" w:hanging="360"/>
      </w:pPr>
      <w:r>
        <w:rPr>
          <w:b/>
          <w:bCs/>
        </w:rPr>
        <w:t xml:space="preserve">[49] </w:t>
      </w:r>
      <w:r>
        <w:t xml:space="preserve">Gobierno del Estado de México / Secretaría de Finanzas. (2024). Reglas de Operación del Programa Manejo Forestal Sustentable (definiciones y procedimiento de dictaminación). </w:t>
      </w:r>
      <w:hyperlink w:history="1" r:id="rIdnjtb0k36dkluztrjnncuo">
        <w:r>
          <w:rPr>
            <w:color w:val="1155CC"/>
            <w:u w:val="single"/>
          </w:rPr>
          <w:t xml:space="preserve">https://transparenciafiscal.edomex.gob.mx/sites/transparenciafiscal.edomex.gob.mx/files/files/informacion/ROPS/2024/SECCAM-Manejo-Forestal-Sustentable.pdf</w:t>
        </w:r>
      </w:hyperlink>
    </w:p>
    <w:p>
      <w:pPr>
        <w:spacing w:after="160" w:line="264"/>
        <w:ind w:left="360" w:hanging="360"/>
      </w:pPr>
      <w:r>
        <w:rPr>
          <w:b/>
          <w:bCs/>
        </w:rPr>
        <w:t xml:space="preserve">[56] </w:t>
      </w:r>
      <w:r>
        <w:t xml:space="preserve">Gobierno del Estado de México / Secretaría de Finanzas. (2024). Reglas de Operación del Programa Manejo Forestal Sustentable (definición del Comité de Admisión y Seguimiento). </w:t>
      </w:r>
      <w:hyperlink w:history="1" r:id="rIdccslcbv6rd_jtn80q5jaa">
        <w:r>
          <w:rPr>
            <w:color w:val="1155CC"/>
            <w:u w:val="single"/>
          </w:rPr>
          <w:t xml:space="preserve">https://transparenciafiscal.edomex.gob.mx/sites/transparenciafiscal.edomex.gob.mx/files/files/informacion/ROPS/2024/SECCAM-Manejo-Forestal-Sustentable.pdf</w:t>
        </w:r>
      </w:hyperlink>
    </w:p>
    <w:p>
      <w:pPr>
        <w:spacing w:after="160" w:line="264"/>
        <w:ind w:left="360" w:hanging="360"/>
      </w:pPr>
      <w:r>
        <w:rPr>
          <w:b/>
          <w:bCs/>
        </w:rPr>
        <w:t xml:space="preserve">[65] </w:t>
      </w:r>
      <w:r>
        <w:t xml:space="preserve">Periódico Oficial Gaceta del Gobierno. (27 de enero de 2026). Reglas de Operación del Programa Manejo Forestal Sustentable 2026 (conceptos, ministraciones y montos). </w:t>
      </w:r>
      <w:hyperlink w:history="1" r:id="rIdwyfua1i7eqhgeurhl_0az">
        <w:r>
          <w:rPr>
            <w:color w:val="1155CC"/>
            <w:u w:val="single"/>
          </w:rPr>
          <w:t xml:space="preserve">https://legislacion.edomex.gob.mx/sites/legislacion.edomex.gob.mx/files/files/pdf/gct/2026/enero/ene271/ene271h.pdf</w:t>
        </w:r>
      </w:hyperlink>
    </w:p>
    <w:p>
      <w:pPr>
        <w:spacing w:after="160" w:line="264"/>
        <w:ind w:left="360" w:hanging="360"/>
      </w:pPr>
      <w:r>
        <w:rPr>
          <w:b/>
          <w:bCs/>
        </w:rPr>
        <w:t xml:space="preserve">[67] </w:t>
      </w:r>
      <w:r>
        <w:t xml:space="preserve">ejecentral. (14 de febrero de 2026). Probosque abre Programas Forestales 2026 con apoyos de hasta 165 mil pesos en Edomex. </w:t>
      </w:r>
      <w:hyperlink w:history="1" r:id="rIdpnih0ilnicnbkaknsca3n">
        <w:r>
          <w:rPr>
            <w:color w:val="1155CC"/>
            <w:u w:val="single"/>
          </w:rPr>
          <w:t xml:space="preserve">https://www.ejecentral.com.mx/nuestro-eje/probosque-abre-programas-forestales-2026-con-apoyos-de-hasta-165-mil-pesos-en-edomex-quienes-pueden-recibir-el-apoyo-y-como-registrarse</w:t>
        </w:r>
      </w:hyperlink>
    </w:p>
    <w:p>
      <w:pPr>
        <w:spacing w:after="160" w:line="264"/>
        <w:ind w:left="360" w:hanging="360"/>
      </w:pPr>
      <w:r>
        <w:rPr>
          <w:b/>
          <w:bCs/>
        </w:rPr>
        <w:t xml:space="preserve">[68] </w:t>
      </w:r>
      <w:r>
        <w:t xml:space="preserve">La Jornada Estado de México. (10 de febrero de 2026). ¿Tienes terreno en un bosque? Edomex abre convocatoria de Programas Forestales 2026 para su conservación. </w:t>
      </w:r>
      <w:hyperlink w:history="1" r:id="rIdbpiha3mbqvul8gwca4xe1">
        <w:r>
          <w:rPr>
            <w:color w:val="1155CC"/>
            <w:u w:val="single"/>
          </w:rPr>
          <w:t xml:space="preserve">https://lajornadaestadodemexico.com/programas-forestales-2026/</w:t>
        </w:r>
      </w:hyperlink>
    </w:p>
    <w:p>
      <w:pPr>
        <w:spacing w:after="160" w:line="264"/>
        <w:ind w:left="360" w:hanging="360"/>
      </w:pPr>
      <w:r>
        <w:rPr>
          <w:b/>
          <w:bCs/>
        </w:rPr>
        <w:t xml:space="preserve">[71] </w:t>
      </w:r>
      <w:r>
        <w:t xml:space="preserve">Diario Portal. (7 de febrero de 2026). ¿Tienes terreno en un bosque? Gobierno del EdoMéx abre convocatoria de Programas Forestales con apoyo de hasta 165 mil pesos. </w:t>
      </w:r>
      <w:hyperlink w:history="1" r:id="rId4enprtdpr0nuqfwpewwt2">
        <w:r>
          <w:rPr>
            <w:color w:val="1155CC"/>
            <w:u w:val="single"/>
          </w:rPr>
          <w:t xml:space="preserve">https://diarioportal.com/medio-ambiente/tienes-terreno-en-un-bosque-gobierno-del-edomex-abre-convocatoria-de-programas-forestales-con-apoyo-de-hasta-165-mil-pesos</w:t>
        </w:r>
      </w:hyperlink>
    </w:p>
    <w:p>
      <w:pPr>
        <w:spacing w:after="200"/>
        <w:jc w:val="both"/>
      </w:pPr>
      <w:r>
        <w:t xml:space="preserve"/>
      </w:r>
    </w:p>
    <w:p>
      <w:pPr>
        <w:spacing w:after="160" w:line="276"/>
        <w:jc w:val="both"/>
      </w:pPr>
      <w:r>
        <w:rPr>
          <w:b/>
          <w:bCs/>
          <w:i/>
          <w:iCs/>
          <w:sz w:val="18"/>
          <w:szCs w:val="18"/>
        </w:rPr>
        <w:t xml:space="preserve">Aviso: </w:t>
      </w:r>
      <w:r>
        <w:rPr>
          <w:i/>
          <w:iCs/>
          <w:sz w:val="18"/>
          <w:szCs w:val="18"/>
        </w:rPr>
        <w:t xml:space="preserve">este documento tiene fines informativos y de consulta. Los montos, fechas y requisitos específicos deben verificarse cada año contra la Convocatoria y las Reglas de Operación vigentes publicadas por PROBOSQUE, ya que se actualizan anualmente.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B57"/>
      <w:sz w:val="30"/>
      <w:szCs w:val="30"/>
    </w:rPr>
  </w:style>
  <w:style w:type="paragraph" w:styleId="Heading2">
    <w:name w:val="Heading 2"/>
    <w:basedOn w:val="Normal"/>
    <w:next w:val="Normal"/>
    <w:qFormat/>
    <w:pPr>
      <w:spacing w:after="120" w:before="280"/>
    </w:pPr>
    <w:rPr>
      <w:rFonts w:ascii="Calibri" w:cs="Calibri" w:eastAsia="Calibri" w:hAnsi="Calibri"/>
      <w:b/>
      <w:bCs/>
      <w:color w:val="2E5E3E"/>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lfjiyw3psx1wnicjqbn" Type="http://schemas.openxmlformats.org/officeDocument/2006/relationships/hyperlink" Target="http://probosque.edomex.gob.mx/convocatorias" TargetMode="External"/><Relationship Id="rId-zaiu2z6sx21wqhseqxz-" Type="http://schemas.openxmlformats.org/officeDocument/2006/relationships/hyperlink" Target="https://secampo.edomex.gob.mx/node/570" TargetMode="External"/><Relationship Id="rIdwshwnrc4ngwt3wre_iamk" Type="http://schemas.openxmlformats.org/officeDocument/2006/relationships/hyperlink" Target="https://www.ejecentral.com.mx/nuestro-eje/probosque-abre-programas-forestales-2026-con-apoyos-de-hasta-165-mil-pesos-en-edomex-quienes-pueden-recibir-el-apoyo-y-como-registrarse" TargetMode="External"/><Relationship Id="rId_b5wt9lyepkbxc8q5q4ox" Type="http://schemas.openxmlformats.org/officeDocument/2006/relationships/hyperlink" Target="https://www.capitaledomex.com.mx/local/probosque-lanza-programas-de-apoyo-con-hasta-165-mil-pesos-para-duenos-de-terrenos-forestales/" TargetMode="External"/><Relationship Id="rIdam7uuv4pagrbwyk2ka6lc" Type="http://schemas.openxmlformats.org/officeDocument/2006/relationships/hyperlink" Target="https://edomexaldia.com/lanzan-secampo-y-probosque-programas-de-asesoria-restauracion-y-manejo-sostenible-de-zonas-forestales-del-estado-de-mexico/" TargetMode="External"/><Relationship Id="rIdent6gdoupy2hqdk5wy3pi" Type="http://schemas.openxmlformats.org/officeDocument/2006/relationships/hyperlink" Target="https://miescaparate.com.mx/probosque-36-anos-bosques-estado-de-mexico/" TargetMode="External"/><Relationship Id="rIdgaaldrrz9zslwdbwtzrcf" Type="http://schemas.openxmlformats.org/officeDocument/2006/relationships/hyperlink" Target="https://www.lanoticiaes.com/post/celebra-probosque-36-a%C3%B1os-de-servicio-a-favor-de-los-bosques-mexiquenses" TargetMode="External"/><Relationship Id="rIdxwmbprkjbl1dotndczaf9" Type="http://schemas.openxmlformats.org/officeDocument/2006/relationships/hyperlink" Target="https://www.agenciadenoticiasmx.com/2026/06/14/celebra-probosque-36-anos-de-servicio-a-favor-de-los-bosques-mexiquenses/" TargetMode="External"/><Relationship Id="rIdalnh2g8qbug808pdspnyi" Type="http://schemas.openxmlformats.org/officeDocument/2006/relationships/hyperlink" Target="https://probosquedesa.edomex.gob.mx/aprovechamiento_forestal" TargetMode="External"/><Relationship Id="rIdet3kwgptwteodrwknzipb" Type="http://schemas.openxmlformats.org/officeDocument/2006/relationships/hyperlink" Target="https://legislacion.edomex.gob.mx/sites/legislacion.edomex.gob.mx/files/files/pdf/rgl/vig/rglvig392.pdf" TargetMode="External"/><Relationship Id="rIduh0nfcws1x8n-__l8sq7h" Type="http://schemas.openxmlformats.org/officeDocument/2006/relationships/hyperlink" Target="https://legislacion.edomex.gob.mx/sites/legislacion.edomex.gob.mx/files/files/pdf/rgl/vig/rglvig392.pdf" TargetMode="External"/><Relationship Id="rId4tipvqekrid48416tnoak" Type="http://schemas.openxmlformats.org/officeDocument/2006/relationships/hyperlink" Target="https://www.vertigopolitico.com/nacional/estados/notas/emite-edomex-reglas-de-operacion-de-los-programas-de-probosque-del-ejercicio-fiscal-2021" TargetMode="External"/><Relationship Id="rIds2_weh0nthmlqaa-2uzr1" Type="http://schemas.openxmlformats.org/officeDocument/2006/relationships/hyperlink" Target="http://probosque.edomex.gob.mx/aprovechamiento_forestal" TargetMode="External"/><Relationship Id="rIdsu7vrwfeunvxsof_tjbwn" Type="http://schemas.openxmlformats.org/officeDocument/2006/relationships/hyperlink" Target="https://asisucede.com.mx/gem-difunde-convocatoria-2023-de-las-reglas-de-operacion-de-probosque/" TargetMode="External"/><Relationship Id="rIdjh551bspxzjff4cw30m2h" Type="http://schemas.openxmlformats.org/officeDocument/2006/relationships/hyperlink" Target="https://hgrupoeditorial.com/difunde-gem-convocatoria-2023-de-las-reglas-de-operacion-de-programas-de-probosque/" TargetMode="External"/><Relationship Id="rIdkwytebayu1luzfykzkowu" Type="http://schemas.openxmlformats.org/officeDocument/2006/relationships/hyperlink" Target="http://probosquedesa.edomex.gob.mx/reforestando_edomex" TargetMode="External"/><Relationship Id="rIdkpqwy-cgjzu2kahvytzli" Type="http://schemas.openxmlformats.org/officeDocument/2006/relationships/hyperlink" Target="https://legislacion.edomex.gob.mx/index.php/node/36057" TargetMode="External"/><Relationship Id="rId5yvhhiqapugg6ibtx_u-m" Type="http://schemas.openxmlformats.org/officeDocument/2006/relationships/hyperlink" Target="https://transparenciafiscal.edomex.gob.mx/sites/transparenciafiscal.edomex.gob.mx/files/files/informacion/ROPS/2024/SECCAM-Manejo-Forestal-Sustentable.pdf" TargetMode="External"/><Relationship Id="rId97c1jmdhqkc1rmel4scvi" Type="http://schemas.openxmlformats.org/officeDocument/2006/relationships/hyperlink" Target="http://probosquedesa.edomex.gob.mx/reforestando_edomex" TargetMode="External"/><Relationship Id="rIdjoxwjn4iajhwsuqolberd" Type="http://schemas.openxmlformats.org/officeDocument/2006/relationships/hyperlink" Target="http://probosque.edomex.gob.mx/reforestando_edomex" TargetMode="External"/><Relationship Id="rIdruitusytys-qwyom4u9rd" Type="http://schemas.openxmlformats.org/officeDocument/2006/relationships/hyperlink" Target="https://legislacion.edomex.gob.mx/sites/legislacion.edomex.gob.mx/files/files/pdf/gct/2026/enero/ene271/ene271h.pdf" TargetMode="External"/><Relationship Id="rIdkqfjexk-sx8ugpalpqny5" Type="http://schemas.openxmlformats.org/officeDocument/2006/relationships/hyperlink" Target="https://legislacion.edomex.gob.mx/sites/legislacion.edomex.gob.mx/files/files/pdf/gct/2025/enero/ene292/ene292a.pdf" TargetMode="External"/><Relationship Id="rIdnjtb0k36dkluztrjnncuo" Type="http://schemas.openxmlformats.org/officeDocument/2006/relationships/hyperlink" Target="https://transparenciafiscal.edomex.gob.mx/sites/transparenciafiscal.edomex.gob.mx/files/files/informacion/ROPS/2024/SECCAM-Manejo-Forestal-Sustentable.pdf" TargetMode="External"/><Relationship Id="rIdccslcbv6rd_jtn80q5jaa" Type="http://schemas.openxmlformats.org/officeDocument/2006/relationships/hyperlink" Target="https://transparenciafiscal.edomex.gob.mx/sites/transparenciafiscal.edomex.gob.mx/files/files/informacion/ROPS/2024/SECCAM-Manejo-Forestal-Sustentable.pdf" TargetMode="External"/><Relationship Id="rIdwyfua1i7eqhgeurhl_0az" Type="http://schemas.openxmlformats.org/officeDocument/2006/relationships/hyperlink" Target="https://legislacion.edomex.gob.mx/sites/legislacion.edomex.gob.mx/files/files/pdf/gct/2026/enero/ene271/ene271h.pdf" TargetMode="External"/><Relationship Id="rIdpnih0ilnicnbkaknsca3n" Type="http://schemas.openxmlformats.org/officeDocument/2006/relationships/hyperlink" Target="https://www.ejecentral.com.mx/nuestro-eje/probosque-abre-programas-forestales-2026-con-apoyos-de-hasta-165-mil-pesos-en-edomex-quienes-pueden-recibir-el-apoyo-y-como-registrarse" TargetMode="External"/><Relationship Id="rIdbpiha3mbqvul8gwca4xe1" Type="http://schemas.openxmlformats.org/officeDocument/2006/relationships/hyperlink" Target="https://lajornadaestadodemexico.com/programas-forestales-2026/" TargetMode="External"/><Relationship Id="rId4enprtdpr0nuqfwpewwt2" Type="http://schemas.openxmlformats.org/officeDocument/2006/relationships/hyperlink" Target="https://diarioportal.com/medio-ambiente/tienes-terreno-en-un-bosque-gobierno-del-edomex-abre-convocatoria-de-programas-forestales-con-apoyo-de-hasta-165-mil-pesos"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2026-09-12T23:10:15.919Z</dcterms:created>
  <dcterms:modified xsi:type="dcterms:W3CDTF">2026-09-12T23:10:15.931Z</dcterms:modified>
</cp:coreProperties>
</file>

<file path=docProps/custom.xml><?xml version="1.0" encoding="utf-8"?>
<Properties xmlns="http://schemas.openxmlformats.org/officeDocument/2006/custom-properties" xmlns:vt="http://schemas.openxmlformats.org/officeDocument/2006/docPropsVTypes"/>
</file>