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95959"/>
          <w:sz w:val="26"/>
          <w:szCs w:val="26"/>
        </w:rPr>
        <w:t xml:space="preserve">INFORME INSTITUCIONAL</w:t>
      </w:r>
    </w:p>
    <w:p>
      <w:pPr>
        <w:spacing w:before="200"/>
        <w:jc w:val="center"/>
      </w:pPr>
      <w:r>
        <w:rPr>
          <w:b/>
          <w:bCs/>
          <w:color w:val="1F3B2C"/>
          <w:sz w:val="56"/>
          <w:szCs w:val="56"/>
        </w:rPr>
        <w:t xml:space="preserve">PROBOSQUE</w:t>
      </w:r>
    </w:p>
    <w:p>
      <w:pPr>
        <w:jc w:val="center"/>
      </w:pPr>
      <w:r>
        <w:rPr>
          <w:i/>
          <w:iCs/>
          <w:color w:val="2E7D32"/>
          <w:sz w:val="26"/>
          <w:szCs w:val="26"/>
        </w:rPr>
        <w:t xml:space="preserve">Protectora de Bosques del Estado de México</w:t>
      </w:r>
    </w:p>
    <w:p>
      <w:pPr>
        <w:spacing w:before="500"/>
        <w:jc w:val="center"/>
      </w:pPr>
      <w:r>
        <w:rPr>
          <w:color w:val="595959"/>
          <w:sz w:val="22"/>
          <w:szCs w:val="22"/>
        </w:rPr>
        <w:t xml:space="preserve">Masa forestal · Programas de apoyo · Banco de semillas</w:t>
      </w:r>
    </w:p>
    <w:p>
      <w:pPr>
        <w:spacing w:before="1600"/>
        <w:jc w:val="center"/>
      </w:pPr>
      <w:r>
        <w:rPr>
          <w:color w:val="595959"/>
          <w:sz w:val="18"/>
          <w:szCs w:val="18"/>
        </w:rPr>
        <w:t xml:space="preserve">Elaborado a partir de fuentes oficiales del Gobierno del Estado de México y notas periodísticas verificadas</w:t>
      </w:r>
    </w:p>
    <w:p>
      <w:pPr>
        <w:spacing w:before="100"/>
        <w:jc w:val="center"/>
      </w:pPr>
      <w:r>
        <w:rPr>
          <w:color w:val="595959"/>
          <w:sz w:val="18"/>
          <w:szCs w:val="18"/>
        </w:rPr>
        <w:t xml:space="preserve">Agosto de 2026</w:t>
      </w:r>
    </w:p>
    <w:p>
      <w:pPr>
        <w:pageBreakBefore/>
      </w:pPr>
      <w:r>
        <w:br/>
        <w:t xml:space="preserve"/>
      </w:r>
    </w:p>
    <w:p>
      <w:pPr>
        <w:pStyle w:val="Heading1"/>
        <w:pBdr>
          <w:bottom w:val="single" w:color="2E7D32" w:sz="8" w:space="4"/>
        </w:pBdr>
        <w:spacing w:after="200" w:before="400"/>
      </w:pPr>
      <w:r>
        <w:rPr>
          <w:b/>
          <w:bCs/>
          <w:color w:val="1F3B2C"/>
          <w:sz w:val="30"/>
          <w:szCs w:val="30"/>
        </w:rPr>
        <w:t xml:space="preserve">1. Introducción</w:t>
      </w:r>
    </w:p>
    <w:p>
      <w:pPr>
        <w:spacing w:after="160" w:line="276"/>
        <w:jc w:val="both"/>
      </w:pPr>
      <w:r>
        <w:rPr>
          <w:color w:val="222222"/>
          <w:sz w:val="21"/>
          <w:szCs w:val="21"/>
        </w:rPr>
        <w:t xml:space="preserve">La Protectora de Bosques del Estado de México (PROBOSQUE) es un organismo público descentralizado, con personalidad jurídica y patrimonio propio, creado mediante el Decreto número 124 el 13 de junio de 1990. Su objeto legal es la protección, conservación, reforestación, fomento y vigilancia de los recursos forestales del Estado de México [1][6].</w:t>
      </w:r>
    </w:p>
    <w:p>
      <w:pPr>
        <w:spacing w:after="160" w:line="276"/>
        <w:jc w:val="both"/>
      </w:pPr>
      <w:r>
        <w:rPr>
          <w:color w:val="222222"/>
          <w:sz w:val="21"/>
          <w:szCs w:val="21"/>
        </w:rPr>
        <w:t xml:space="preserve">Desde su creación, PROBOSQUE ha cambiado de sector administrativo en varias ocasiones: en 1992 se sectorizó a la entonces Secretaría de Ecología, en 1995 a la Secretaría de Desarrollo Agropecuario, y desde el 29 de septiembre de 2020 depende de la Secretaría del Campo del Gobierno mexiquense [1][6]. El territorio que atiende comprende 10,653.6 km² de superficie forestal —cerca del 48 % del territorio estatal—, con predominancia de bosques de pino, oyamel y encino [6].</w:t>
      </w:r>
    </w:p>
    <w:p>
      <w:pPr>
        <w:spacing w:after="160" w:line="276"/>
        <w:jc w:val="both"/>
      </w:pPr>
      <w:r>
        <w:rPr>
          <w:color w:val="222222"/>
          <w:sz w:val="21"/>
          <w:szCs w:val="21"/>
        </w:rPr>
        <w:t xml:space="preserve">A 36 años de su creación (cifra reportada en 2026), el organismo opera con cerca de mil personas entre personal operativo, administrativo, brigadistas y técnicos, 17 viveros forestales y un Banco de Germoplasma con más de 2.5 toneladas de semilla en reserva [7][9]. Este informe organiza la información disponible en tres ejes: masa forestal, programas de apoyo y banco de semillas, y explica cómo se articulan entre sí.</w:t>
      </w:r>
    </w:p>
    <w:p>
      <w:pPr>
        <w:pStyle w:val="Heading1"/>
        <w:pBdr>
          <w:bottom w:val="single" w:color="2E7D32" w:sz="8" w:space="4"/>
        </w:pBdr>
        <w:spacing w:after="200" w:before="400"/>
      </w:pPr>
      <w:r>
        <w:rPr>
          <w:b/>
          <w:bCs/>
          <w:color w:val="1F3B2C"/>
          <w:sz w:val="30"/>
          <w:szCs w:val="30"/>
        </w:rPr>
        <w:t xml:space="preserve">2. Masa forestal</w:t>
      </w:r>
    </w:p>
    <w:p>
      <w:pPr>
        <w:spacing w:after="160" w:line="276"/>
        <w:jc w:val="both"/>
      </w:pPr>
      <w:r>
        <w:rPr>
          <w:color w:val="222222"/>
          <w:sz w:val="21"/>
          <w:szCs w:val="21"/>
        </w:rPr>
        <w:t xml:space="preserve">El eje de "masa forestal" agrupa las funciones sustantivas de PROBOSQUE orientadas a preservar, restaurar y vigilar la cubierta forestal del Estado de México. Incluye tanto la estructura jerárquica que hace posible esta labor (el "índice" de trabajo) como el conjunto de responsabilidades legales que tiene el organismo.</w:t>
      </w:r>
    </w:p>
    <w:p>
      <w:pPr>
        <w:pStyle w:val="Heading2"/>
        <w:spacing w:after="120" w:before="300"/>
      </w:pPr>
      <w:r>
        <w:rPr>
          <w:b/>
          <w:bCs/>
          <w:color w:val="2E7D32"/>
          <w:sz w:val="24"/>
          <w:szCs w:val="24"/>
        </w:rPr>
        <w:t xml:space="preserve">2.1 Índice — cómo trabaja PROBOSQUE (estructura jerárquica)</w:t>
      </w:r>
    </w:p>
    <w:p>
      <w:pPr>
        <w:spacing w:after="160" w:line="276"/>
        <w:jc w:val="both"/>
      </w:pPr>
      <w:r>
        <w:rPr>
          <w:color w:val="222222"/>
          <w:sz w:val="21"/>
          <w:szCs w:val="21"/>
        </w:rPr>
        <w:t xml:space="preserve">De acuerdo con el Manual General de Organización vigente, PROBOSQUE opera bajo una estructura escalonada, de mayor a menor nivel de decisión, integrada por 30 unidades administrativas [45][46]:</w:t>
      </w:r>
    </w:p>
    <w:p>
      <w:pPr>
        <w:pStyle w:val="ListParagraph"/>
        <w:numPr>
          <w:ilvl w:val="0"/>
          <w:numId w:val="2"/>
        </w:numPr>
        <w:spacing w:after="90" w:line="276"/>
      </w:pPr>
      <w:r>
        <w:rPr>
          <w:color w:val="222222"/>
          <w:sz w:val="21"/>
          <w:szCs w:val="21"/>
        </w:rPr>
        <w:t xml:space="preserve">Dirección General — encabeza el organismo, aprueba manuales de procedimientos, dirige el Sistema de Gestión de Calidad (ISO 9001) y establece las directrices generales.</w:t>
      </w:r>
    </w:p>
    <w:p>
      <w:pPr>
        <w:pStyle w:val="ListParagraph"/>
        <w:numPr>
          <w:ilvl w:val="0"/>
          <w:numId w:val="2"/>
        </w:numPr>
        <w:spacing w:after="90" w:line="276"/>
      </w:pPr>
      <w:r>
        <w:rPr>
          <w:color w:val="222222"/>
          <w:sz w:val="21"/>
          <w:szCs w:val="21"/>
        </w:rPr>
        <w:t xml:space="preserve">Unidades staff (7) — áreas de asesoría y apoyo directo a la Dirección General: jurídica, transparencia, igualdad de género, planeación, comunicación, entre otras.</w:t>
      </w:r>
    </w:p>
    <w:p>
      <w:pPr>
        <w:pStyle w:val="ListParagraph"/>
        <w:numPr>
          <w:ilvl w:val="0"/>
          <w:numId w:val="2"/>
        </w:numPr>
        <w:spacing w:after="90" w:line="276"/>
      </w:pPr>
      <w:r>
        <w:rPr>
          <w:color w:val="222222"/>
          <w:sz w:val="21"/>
          <w:szCs w:val="21"/>
        </w:rPr>
        <w:t xml:space="preserve">Direcciones de área (3) — entre ellas la Dirección de Restauración y Fomento Forestal y la Dirección de Manejo y Conservación de Bosques, responsables de operar los programas sustantivos.</w:t>
      </w:r>
    </w:p>
    <w:p>
      <w:pPr>
        <w:pStyle w:val="ListParagraph"/>
        <w:numPr>
          <w:ilvl w:val="0"/>
          <w:numId w:val="2"/>
        </w:numPr>
        <w:spacing w:after="90" w:line="276"/>
      </w:pPr>
      <w:r>
        <w:rPr>
          <w:color w:val="222222"/>
          <w:sz w:val="21"/>
          <w:szCs w:val="21"/>
        </w:rPr>
        <w:t xml:space="preserve">Departamentos (11) — unidades técnicas especializadas: producción de planta, colecta de germoplasma, biotecnología forestal, aprovechamiento forestal, sanidad, prevención de incendios, entre otras.</w:t>
      </w:r>
    </w:p>
    <w:p>
      <w:pPr>
        <w:pStyle w:val="ListParagraph"/>
        <w:numPr>
          <w:ilvl w:val="0"/>
          <w:numId w:val="2"/>
        </w:numPr>
        <w:spacing w:after="90" w:line="276"/>
      </w:pPr>
      <w:r>
        <w:rPr>
          <w:color w:val="222222"/>
          <w:sz w:val="21"/>
          <w:szCs w:val="21"/>
        </w:rPr>
        <w:t xml:space="preserve">Coordinación de Delegaciones Regionales y Delegaciones Regionales Forestales (8) — presencia territorial que da seguimiento operativo directo a los núcleos agrarios y beneficiarios en cada región del Estado [45][46].</w:t>
      </w:r>
    </w:p>
    <w:p>
      <w:pPr>
        <w:pStyle w:val="ListParagraph"/>
        <w:numPr>
          <w:ilvl w:val="0"/>
          <w:numId w:val="2"/>
        </w:numPr>
        <w:spacing w:after="90" w:line="276"/>
      </w:pPr>
      <w:r>
        <w:rPr>
          <w:color w:val="222222"/>
          <w:sz w:val="21"/>
          <w:szCs w:val="21"/>
        </w:rPr>
        <w:t xml:space="preserve">Brigadas forestales (26) — personal de campo dedicado a la prevención y combate de incendios forestales, con contratación anual, capacitación especializada y equipo de seguridad [7][9][10].</w:t>
      </w:r>
    </w:p>
    <w:p>
      <w:pPr>
        <w:spacing w:after="200" w:before="80"/>
      </w:pPr>
      <w:r>
        <w:rPr>
          <w:i/>
          <w:iCs/>
          <w:color w:val="595959"/>
          <w:sz w:val="18"/>
          <w:szCs w:val="18"/>
        </w:rPr>
        <w:t xml:space="preserve">Fuente: Manual General de Organización de PROBOSQUE, publicado en la Gaceta del Gobierno del Estado de México [45][46].</w:t>
      </w:r>
    </w:p>
    <w:p>
      <w:pPr>
        <w:pStyle w:val="Heading2"/>
        <w:spacing w:after="120" w:before="300"/>
      </w:pPr>
      <w:r>
        <w:rPr>
          <w:b/>
          <w:bCs/>
          <w:color w:val="2E7D32"/>
          <w:sz w:val="24"/>
          <w:szCs w:val="24"/>
        </w:rPr>
        <w:t xml:space="preserve">2.2 Responsabilidades</w:t>
      </w:r>
    </w:p>
    <w:p>
      <w:pPr>
        <w:spacing w:after="160" w:line="276"/>
        <w:jc w:val="both"/>
      </w:pPr>
      <w:r>
        <w:rPr>
          <w:color w:val="222222"/>
          <w:sz w:val="21"/>
          <w:szCs w:val="21"/>
        </w:rPr>
        <w:t xml:space="preserve">Las atribuciones legales de PROBOSQUE, fundamentadas en el Código para la Biodiversidad del Estado de México y su Reglamento Interior, incluyen [52][53]:</w:t>
      </w:r>
    </w:p>
    <w:p>
      <w:pPr>
        <w:pStyle w:val="ListParagraph"/>
        <w:numPr>
          <w:ilvl w:val="0"/>
          <w:numId w:val="3"/>
        </w:numPr>
        <w:spacing w:after="90" w:line="276"/>
      </w:pPr>
      <w:r>
        <w:rPr>
          <w:color w:val="222222"/>
          <w:sz w:val="21"/>
          <w:szCs w:val="21"/>
        </w:rPr>
        <w:t xml:space="preserve">Fomentar la protección, restauración y conservación de los ecosistemas, recursos naturales y servicios ambientales, propiciando su aprovechamiento sustentable.</w:t>
      </w:r>
    </w:p>
    <w:p>
      <w:pPr>
        <w:pStyle w:val="ListParagraph"/>
        <w:numPr>
          <w:ilvl w:val="0"/>
          <w:numId w:val="3"/>
        </w:numPr>
        <w:spacing w:after="90" w:line="276"/>
      </w:pPr>
      <w:r>
        <w:rPr>
          <w:color w:val="222222"/>
          <w:sz w:val="21"/>
          <w:szCs w:val="21"/>
        </w:rPr>
        <w:t xml:space="preserve">Vigilar el cumplimiento de las normas y programas de protección, defensa y restauración del ambiente forestal.</w:t>
      </w:r>
    </w:p>
    <w:p>
      <w:pPr>
        <w:pStyle w:val="ListParagraph"/>
        <w:numPr>
          <w:ilvl w:val="0"/>
          <w:numId w:val="3"/>
        </w:numPr>
        <w:spacing w:after="90" w:line="276"/>
      </w:pPr>
      <w:r>
        <w:rPr>
          <w:color w:val="222222"/>
          <w:sz w:val="21"/>
          <w:szCs w:val="21"/>
        </w:rPr>
        <w:t xml:space="preserve">Ejercer funciones de inspección y vigilancia forestal, facultad transferida por la PROFEPA/SEMARNAT mediante convenio de asunción de funciones (2013 y 2018), incluyendo la imposición de sanciones [8][52][53].</w:t>
      </w:r>
    </w:p>
    <w:p>
      <w:pPr>
        <w:pStyle w:val="ListParagraph"/>
        <w:numPr>
          <w:ilvl w:val="0"/>
          <w:numId w:val="3"/>
        </w:numPr>
        <w:spacing w:after="90" w:line="276"/>
      </w:pPr>
      <w:r>
        <w:rPr>
          <w:color w:val="222222"/>
          <w:sz w:val="21"/>
          <w:szCs w:val="21"/>
        </w:rPr>
        <w:t xml:space="preserve">Autorizar el aprovechamiento de recursos forestales maderables y no maderables, a través de la Ventanilla Única de Trámites Forestales.</w:t>
      </w:r>
    </w:p>
    <w:p>
      <w:pPr>
        <w:pStyle w:val="ListParagraph"/>
        <w:numPr>
          <w:ilvl w:val="0"/>
          <w:numId w:val="3"/>
        </w:numPr>
        <w:spacing w:after="90" w:line="276"/>
      </w:pPr>
      <w:r>
        <w:rPr>
          <w:color w:val="222222"/>
          <w:sz w:val="21"/>
          <w:szCs w:val="21"/>
        </w:rPr>
        <w:t xml:space="preserve">Prevenir y combatir incendios forestales mediante las 26 brigadas forestales de la entidad.</w:t>
      </w:r>
    </w:p>
    <w:p>
      <w:pPr>
        <w:pStyle w:val="ListParagraph"/>
        <w:numPr>
          <w:ilvl w:val="0"/>
          <w:numId w:val="3"/>
        </w:numPr>
        <w:spacing w:after="90" w:line="276"/>
      </w:pPr>
      <w:r>
        <w:rPr>
          <w:color w:val="222222"/>
          <w:sz w:val="21"/>
          <w:szCs w:val="21"/>
        </w:rPr>
        <w:t xml:space="preserve">Producir planta forestal y administrar el Banco de Germoplasma para abastecer los programas de reforestación.</w:t>
      </w:r>
    </w:p>
    <w:p>
      <w:pPr>
        <w:pStyle w:val="ListParagraph"/>
        <w:numPr>
          <w:ilvl w:val="0"/>
          <w:numId w:val="3"/>
        </w:numPr>
        <w:spacing w:after="90" w:line="276"/>
      </w:pPr>
      <w:r>
        <w:rPr>
          <w:color w:val="222222"/>
          <w:sz w:val="21"/>
          <w:szCs w:val="21"/>
        </w:rPr>
        <w:t xml:space="preserve">Impulsar la organización productiva de las personas poseedoras o propietarias de terrenos forestales.</w:t>
      </w:r>
    </w:p>
    <w:p>
      <w:pPr>
        <w:pStyle w:val="ListParagraph"/>
        <w:numPr>
          <w:ilvl w:val="0"/>
          <w:numId w:val="3"/>
        </w:numPr>
        <w:spacing w:after="90" w:line="276"/>
      </w:pPr>
      <w:r>
        <w:rPr>
          <w:color w:val="222222"/>
          <w:sz w:val="21"/>
          <w:szCs w:val="21"/>
        </w:rPr>
        <w:t xml:space="preserve">Coordinar y dar seguimiento técnico-financiero a los programas de estímulos (pago de servicios ambientales, manejo forestal sustentable, plantaciones comerciales, captura de carbono).</w:t>
      </w:r>
    </w:p>
    <w:p>
      <w:pPr>
        <w:pStyle w:val="ListParagraph"/>
        <w:numPr>
          <w:ilvl w:val="0"/>
          <w:numId w:val="3"/>
        </w:numPr>
        <w:spacing w:after="90" w:line="276"/>
      </w:pPr>
      <w:r>
        <w:rPr>
          <w:color w:val="222222"/>
          <w:sz w:val="21"/>
          <w:szCs w:val="21"/>
        </w:rPr>
        <w:t xml:space="preserve">Validar manuales de procedimientos y vigilar el cumplimiento de metas de las delegaciones regionales.</w:t>
      </w:r>
    </w:p>
    <w:p>
      <w:pPr>
        <w:pStyle w:val="ListParagraph"/>
        <w:numPr>
          <w:ilvl w:val="0"/>
          <w:numId w:val="3"/>
        </w:numPr>
        <w:spacing w:after="90" w:line="276"/>
      </w:pPr>
      <w:r>
        <w:rPr>
          <w:color w:val="222222"/>
          <w:sz w:val="21"/>
          <w:szCs w:val="21"/>
        </w:rPr>
        <w:t xml:space="preserve">Promover la certificación internacional FSC (Forest Stewardship Council) de manejo forestal sustentable; el Estado de México ocupa el primer lugar nacional con 80 predios certificados [9].</w:t>
      </w:r>
    </w:p>
    <w:p>
      <w:pPr>
        <w:pStyle w:val="Heading1"/>
        <w:pBdr>
          <w:bottom w:val="single" w:color="2E7D32" w:sz="8" w:space="4"/>
        </w:pBdr>
        <w:spacing w:after="200" w:before="400"/>
      </w:pPr>
      <w:r>
        <w:rPr>
          <w:b/>
          <w:bCs/>
          <w:color w:val="1F3B2C"/>
          <w:sz w:val="30"/>
          <w:szCs w:val="30"/>
        </w:rPr>
        <w:t xml:space="preserve">3. Programas de apoyo</w:t>
      </w:r>
    </w:p>
    <w:p>
      <w:pPr>
        <w:spacing w:after="160" w:line="276"/>
        <w:jc w:val="both"/>
      </w:pPr>
      <w:r>
        <w:rPr>
          <w:color w:val="222222"/>
          <w:sz w:val="21"/>
          <w:szCs w:val="21"/>
        </w:rPr>
        <w:t xml:space="preserve">PROBOSQUE opera un conjunto de programas de estímulo económico y técnico dirigidos a núcleos agrarios (ejidos y comunidades), personas físicas y jurídico-colectivas propietarias o poseedoras de terrenos forestales. Actualmente los programas vigentes son: Pago por Servicios Ambientales Hidrológicos del Estado de México (PSAHEM), Restauración Hidrológico-Forestal (antes "Reforestando Edoméx"), Manejo Forestal Sustentable, Plantaciones Sustentables (Forestales Comerciales) y Capturando Carbono (antes "EdoMéx Procarbono") [4][38][41].</w:t>
      </w:r>
    </w:p>
    <w:p>
      <w:pPr>
        <w:pStyle w:val="Heading2"/>
        <w:spacing w:after="120" w:before="300"/>
      </w:pPr>
      <w:r>
        <w:rPr>
          <w:b/>
          <w:bCs/>
          <w:color w:val="2E7D32"/>
          <w:sz w:val="24"/>
          <w:szCs w:val="24"/>
        </w:rPr>
        <w:t xml:space="preserve">3.1 Beneficios</w:t>
      </w:r>
    </w:p>
    <w:p>
      <w:pPr>
        <w:pStyle w:val="ListParagraph"/>
        <w:numPr>
          <w:ilvl w:val="0"/>
          <w:numId w:val="3"/>
        </w:numPr>
        <w:spacing w:after="90" w:line="276"/>
      </w:pPr>
      <w:r>
        <w:rPr>
          <w:color w:val="222222"/>
          <w:sz w:val="21"/>
          <w:szCs w:val="21"/>
        </w:rPr>
        <w:t xml:space="preserve">Estímulo económico directo por hectárea reforestada, mantenida o conservada.</w:t>
      </w:r>
    </w:p>
    <w:p>
      <w:pPr>
        <w:pStyle w:val="ListParagraph"/>
        <w:numPr>
          <w:ilvl w:val="0"/>
          <w:numId w:val="3"/>
        </w:numPr>
        <w:spacing w:after="90" w:line="276"/>
      </w:pPr>
      <w:r>
        <w:rPr>
          <w:color w:val="222222"/>
          <w:sz w:val="21"/>
          <w:szCs w:val="21"/>
        </w:rPr>
        <w:t xml:space="preserve">Entrega de planta forestal sin costo y asistencia técnica gratuita por parte de personal de PROBOSQUE.</w:t>
      </w:r>
    </w:p>
    <w:p>
      <w:pPr>
        <w:pStyle w:val="ListParagraph"/>
        <w:numPr>
          <w:ilvl w:val="0"/>
          <w:numId w:val="3"/>
        </w:numPr>
        <w:spacing w:after="90" w:line="276"/>
      </w:pPr>
      <w:r>
        <w:rPr>
          <w:color w:val="222222"/>
          <w:sz w:val="21"/>
          <w:szCs w:val="21"/>
        </w:rPr>
        <w:t xml:space="preserve">Compensación económica a propietarios de bosque por los servicios ambientales hidrológicos (recarga de acuíferos) que sus predios generan.</w:t>
      </w:r>
    </w:p>
    <w:p>
      <w:pPr>
        <w:pStyle w:val="ListParagraph"/>
        <w:numPr>
          <w:ilvl w:val="0"/>
          <w:numId w:val="3"/>
        </w:numPr>
        <w:spacing w:after="90" w:line="276"/>
      </w:pPr>
      <w:r>
        <w:rPr>
          <w:color w:val="222222"/>
          <w:sz w:val="21"/>
          <w:szCs w:val="21"/>
        </w:rPr>
        <w:t xml:space="preserve">Apoyo para obras de conservación de suelos y captación de agua (hasta 30 mil pesos por hectárea en el Programa de Restauración Forestal Integral) [7].</w:t>
      </w:r>
    </w:p>
    <w:p>
      <w:pPr>
        <w:pStyle w:val="ListParagraph"/>
        <w:numPr>
          <w:ilvl w:val="0"/>
          <w:numId w:val="3"/>
        </w:numPr>
        <w:spacing w:after="90" w:line="276"/>
      </w:pPr>
      <w:r>
        <w:rPr>
          <w:color w:val="222222"/>
          <w:sz w:val="21"/>
          <w:szCs w:val="21"/>
        </w:rPr>
        <w:t xml:space="preserve">Gestión técnica gratuita para certificación internacional FSC de manejo forestal sustentable.</w:t>
      </w:r>
    </w:p>
    <w:p>
      <w:pPr>
        <w:pStyle w:val="ListParagraph"/>
        <w:numPr>
          <w:ilvl w:val="0"/>
          <w:numId w:val="3"/>
        </w:numPr>
        <w:spacing w:after="90" w:line="276"/>
      </w:pPr>
      <w:r>
        <w:rPr>
          <w:color w:val="222222"/>
          <w:sz w:val="21"/>
          <w:szCs w:val="21"/>
        </w:rPr>
        <w:t xml:space="preserve">Fortalecimiento de infraestructura hídrica (presas de gavión) y prevención de incendios en los predios beneficiados.</w:t>
      </w:r>
    </w:p>
    <w:p>
      <w:pPr>
        <w:pStyle w:val="Heading2"/>
        <w:spacing w:after="120" w:before="300"/>
      </w:pPr>
      <w:r>
        <w:rPr>
          <w:b/>
          <w:bCs/>
          <w:color w:val="2E7D32"/>
          <w:sz w:val="24"/>
          <w:szCs w:val="24"/>
        </w:rPr>
        <w:t xml:space="preserve">3.2 Tipos de apoyo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c>
          <w:tcPr>
            <w:tcW w:type="dxa" w:w="2600"/>
            <w:shd w:fill="2E7D32" w:val="clear"/>
            <w:tcMar>
              <w:top w:type="dxa" w:w="80"/>
              <w:left w:type="dxa" w:w="100"/>
              <w:bottom w:type="dxa" w:w="80"/>
              <w:right w:type="dxa" w:w="100"/>
            </w:tcMar>
          </w:tcPr>
          <w:p>
            <w:r>
              <w:rPr>
                <w:b/>
                <w:bCs/>
                <w:color w:val="FFFFFF"/>
                <w:sz w:val="19"/>
                <w:szCs w:val="19"/>
              </w:rPr>
              <w:t xml:space="preserve">Programa</w:t>
            </w:r>
          </w:p>
        </w:tc>
        <w:tc>
          <w:tcPr>
            <w:tcW w:type="dxa" w:w="4200"/>
            <w:shd w:fill="2E7D32" w:val="clear"/>
            <w:tcMar>
              <w:top w:type="dxa" w:w="80"/>
              <w:left w:type="dxa" w:w="100"/>
              <w:bottom w:type="dxa" w:w="80"/>
              <w:right w:type="dxa" w:w="100"/>
            </w:tcMar>
          </w:tcPr>
          <w:p>
            <w:r>
              <w:rPr>
                <w:b/>
                <w:bCs/>
                <w:color w:val="FFFFFF"/>
                <w:sz w:val="19"/>
                <w:szCs w:val="19"/>
              </w:rPr>
              <w:t xml:space="preserve">Objetivo / apoyo que otorga</w:t>
            </w:r>
          </w:p>
        </w:tc>
        <w:tc>
          <w:tcPr>
            <w:tcW w:type="dxa" w:w="2800"/>
            <w:shd w:fill="2E7D32" w:val="clear"/>
            <w:tcMar>
              <w:top w:type="dxa" w:w="80"/>
              <w:left w:type="dxa" w:w="100"/>
              <w:bottom w:type="dxa" w:w="80"/>
              <w:right w:type="dxa" w:w="100"/>
            </w:tcMar>
          </w:tcPr>
          <w:p>
            <w:r>
              <w:rPr>
                <w:b/>
                <w:bCs/>
                <w:color w:val="FFFFFF"/>
                <w:sz w:val="19"/>
                <w:szCs w:val="19"/>
              </w:rPr>
              <w:t xml:space="preserve">Monto o esquema</w:t>
            </w:r>
          </w:p>
        </w:tc>
      </w:tr>
      <w:tr>
        <w:tc>
          <w:tcPr>
            <w:tcW w:type="dxa" w:w="2600"/>
            <w:tcMar>
              <w:top w:type="dxa" w:w="70"/>
              <w:left w:type="dxa" w:w="100"/>
              <w:bottom w:type="dxa" w:w="70"/>
              <w:right w:type="dxa" w:w="100"/>
            </w:tcMar>
          </w:tcPr>
          <w:p>
            <w:r>
              <w:rPr>
                <w:sz w:val="19"/>
                <w:szCs w:val="19"/>
              </w:rPr>
              <w:t xml:space="preserve">Pago por Servicios Ambientales Hidrológicos (PSAHEM)</w:t>
            </w:r>
          </w:p>
        </w:tc>
        <w:tc>
          <w:tcPr>
            <w:tcW w:type="dxa" w:w="4200"/>
            <w:tcMar>
              <w:top w:type="dxa" w:w="70"/>
              <w:left w:type="dxa" w:w="100"/>
              <w:bottom w:type="dxa" w:w="70"/>
              <w:right w:type="dxa" w:w="100"/>
            </w:tcMar>
          </w:tcPr>
          <w:p>
            <w:r>
              <w:rPr>
                <w:sz w:val="19"/>
                <w:szCs w:val="19"/>
              </w:rPr>
              <w:t xml:space="preserve">Compensa a dueños o poseedores de bosque por la recarga hídrica que generan sus predios en zonas estratégicas.</w:t>
            </w:r>
          </w:p>
        </w:tc>
        <w:tc>
          <w:tcPr>
            <w:tcW w:type="dxa" w:w="2800"/>
            <w:tcMar>
              <w:top w:type="dxa" w:w="70"/>
              <w:left w:type="dxa" w:w="100"/>
              <w:bottom w:type="dxa" w:w="70"/>
              <w:right w:type="dxa" w:w="100"/>
            </w:tcMar>
          </w:tcPr>
          <w:p>
            <w:r>
              <w:rPr>
                <w:sz w:val="19"/>
                <w:szCs w:val="19"/>
              </w:rPr>
              <w:t xml:space="preserve">De $1,500 a $3,500 por hectárea al año, según convocatoria 2026 [7][10][40]</w:t>
            </w:r>
          </w:p>
        </w:tc>
      </w:tr>
      <w:tr>
        <w:tc>
          <w:tcPr>
            <w:tcW w:type="dxa" w:w="2600"/>
            <w:shd w:fill="E8F3E9" w:val="clear"/>
            <w:tcMar>
              <w:top w:type="dxa" w:w="70"/>
              <w:left w:type="dxa" w:w="100"/>
              <w:bottom w:type="dxa" w:w="70"/>
              <w:right w:type="dxa" w:w="100"/>
            </w:tcMar>
          </w:tcPr>
          <w:p>
            <w:r>
              <w:rPr>
                <w:sz w:val="19"/>
                <w:szCs w:val="19"/>
              </w:rPr>
              <w:t xml:space="preserve">Restauración Hidrológico-Forestal / Reforestando Edoméx</w:t>
            </w:r>
          </w:p>
        </w:tc>
        <w:tc>
          <w:tcPr>
            <w:tcW w:type="dxa" w:w="4200"/>
            <w:shd w:fill="E8F3E9" w:val="clear"/>
            <w:tcMar>
              <w:top w:type="dxa" w:w="70"/>
              <w:left w:type="dxa" w:w="100"/>
              <w:bottom w:type="dxa" w:w="70"/>
              <w:right w:type="dxa" w:w="100"/>
            </w:tcMar>
          </w:tcPr>
          <w:p>
            <w:r>
              <w:rPr>
                <w:sz w:val="19"/>
                <w:szCs w:val="19"/>
              </w:rPr>
              <w:t xml:space="preserve">Establecimiento y mantenimiento de reforestaciones en superficies degradadas.</w:t>
            </w:r>
          </w:p>
        </w:tc>
        <w:tc>
          <w:tcPr>
            <w:tcW w:type="dxa" w:w="2800"/>
            <w:shd w:fill="E8F3E9" w:val="clear"/>
            <w:tcMar>
              <w:top w:type="dxa" w:w="70"/>
              <w:left w:type="dxa" w:w="100"/>
              <w:bottom w:type="dxa" w:w="70"/>
              <w:right w:type="dxa" w:w="100"/>
            </w:tcMar>
          </w:tcPr>
          <w:p>
            <w:r>
              <w:rPr>
                <w:sz w:val="19"/>
                <w:szCs w:val="19"/>
              </w:rPr>
              <w:t xml:space="preserve">$2,500 por hectárea plantada (70 % al inicio, 30 % al concluir), pago del 100 % si la superficie es menor a 3 ha [30]</w:t>
            </w:r>
          </w:p>
        </w:tc>
      </w:tr>
      <w:tr>
        <w:tc>
          <w:tcPr>
            <w:tcW w:type="dxa" w:w="2600"/>
            <w:tcMar>
              <w:top w:type="dxa" w:w="70"/>
              <w:left w:type="dxa" w:w="100"/>
              <w:bottom w:type="dxa" w:w="70"/>
              <w:right w:type="dxa" w:w="100"/>
            </w:tcMar>
          </w:tcPr>
          <w:p>
            <w:r>
              <w:rPr>
                <w:sz w:val="19"/>
                <w:szCs w:val="19"/>
              </w:rPr>
              <w:t xml:space="preserve">Manejo Forestal Sustentable</w:t>
            </w:r>
          </w:p>
        </w:tc>
        <w:tc>
          <w:tcPr>
            <w:tcW w:type="dxa" w:w="4200"/>
            <w:tcMar>
              <w:top w:type="dxa" w:w="70"/>
              <w:left w:type="dxa" w:w="100"/>
              <w:bottom w:type="dxa" w:w="70"/>
              <w:right w:type="dxa" w:w="100"/>
            </w:tcMar>
          </w:tcPr>
          <w:p>
            <w:r>
              <w:rPr>
                <w:sz w:val="19"/>
                <w:szCs w:val="19"/>
              </w:rPr>
              <w:t xml:space="preserve">Estímulo para que núcleos agrarios gestionen el manejo forestal y/o su certificación mediante un prestador de servicios técnicos.</w:t>
            </w:r>
          </w:p>
        </w:tc>
        <w:tc>
          <w:tcPr>
            <w:tcW w:type="dxa" w:w="2800"/>
            <w:tcMar>
              <w:top w:type="dxa" w:w="70"/>
              <w:left w:type="dxa" w:w="100"/>
              <w:bottom w:type="dxa" w:w="70"/>
              <w:right w:type="dxa" w:w="100"/>
            </w:tcMar>
          </w:tcPr>
          <w:p>
            <w:r>
              <w:rPr>
                <w:sz w:val="19"/>
                <w:szCs w:val="19"/>
              </w:rPr>
              <w:t xml:space="preserve">Monto variable según tabla de la convocatoria, en dos ministraciones [61]</w:t>
            </w:r>
          </w:p>
        </w:tc>
      </w:tr>
      <w:tr>
        <w:tc>
          <w:tcPr>
            <w:tcW w:type="dxa" w:w="2600"/>
            <w:shd w:fill="E8F3E9" w:val="clear"/>
            <w:tcMar>
              <w:top w:type="dxa" w:w="70"/>
              <w:left w:type="dxa" w:w="100"/>
              <w:bottom w:type="dxa" w:w="70"/>
              <w:right w:type="dxa" w:w="100"/>
            </w:tcMar>
          </w:tcPr>
          <w:p>
            <w:r>
              <w:rPr>
                <w:sz w:val="19"/>
                <w:szCs w:val="19"/>
              </w:rPr>
              <w:t xml:space="preserve">Plantaciones Sustentables (Forestales Comerciales)</w:t>
            </w:r>
          </w:p>
        </w:tc>
        <w:tc>
          <w:tcPr>
            <w:tcW w:type="dxa" w:w="4200"/>
            <w:shd w:fill="E8F3E9" w:val="clear"/>
            <w:tcMar>
              <w:top w:type="dxa" w:w="70"/>
              <w:left w:type="dxa" w:w="100"/>
              <w:bottom w:type="dxa" w:w="70"/>
              <w:right w:type="dxa" w:w="100"/>
            </w:tcMar>
          </w:tcPr>
          <w:p>
            <w:r>
              <w:rPr>
                <w:sz w:val="19"/>
                <w:szCs w:val="19"/>
              </w:rPr>
              <w:t xml:space="preserve">Impulsa el establecimiento de plantaciones forestales comerciales con fines maderables.</w:t>
            </w:r>
          </w:p>
        </w:tc>
        <w:tc>
          <w:tcPr>
            <w:tcW w:type="dxa" w:w="2800"/>
            <w:shd w:fill="E8F3E9" w:val="clear"/>
            <w:tcMar>
              <w:top w:type="dxa" w:w="70"/>
              <w:left w:type="dxa" w:w="100"/>
              <w:bottom w:type="dxa" w:w="70"/>
              <w:right w:type="dxa" w:w="100"/>
            </w:tcMar>
          </w:tcPr>
          <w:p>
            <w:r>
              <w:rPr>
                <w:sz w:val="19"/>
                <w:szCs w:val="19"/>
              </w:rPr>
              <w:t xml:space="preserve">Estímulo por hectárea establecida, según reglas de operación</w:t>
            </w:r>
          </w:p>
        </w:tc>
      </w:tr>
      <w:tr>
        <w:tc>
          <w:tcPr>
            <w:tcW w:type="dxa" w:w="2600"/>
            <w:tcMar>
              <w:top w:type="dxa" w:w="70"/>
              <w:left w:type="dxa" w:w="100"/>
              <w:bottom w:type="dxa" w:w="70"/>
              <w:right w:type="dxa" w:w="100"/>
            </w:tcMar>
          </w:tcPr>
          <w:p>
            <w:r>
              <w:rPr>
                <w:sz w:val="19"/>
                <w:szCs w:val="19"/>
              </w:rPr>
              <w:t xml:space="preserve">Capturando Carbono (EdoMéx Procarbono)</w:t>
            </w:r>
          </w:p>
        </w:tc>
        <w:tc>
          <w:tcPr>
            <w:tcW w:type="dxa" w:w="4200"/>
            <w:tcMar>
              <w:top w:type="dxa" w:w="70"/>
              <w:left w:type="dxa" w:w="100"/>
              <w:bottom w:type="dxa" w:w="70"/>
              <w:right w:type="dxa" w:w="100"/>
            </w:tcMar>
          </w:tcPr>
          <w:p>
            <w:r>
              <w:rPr>
                <w:sz w:val="19"/>
                <w:szCs w:val="19"/>
              </w:rPr>
              <w:t xml:space="preserve">Mantiene o incrementa el almacenamiento de carbono en árboles de plantaciones y reforestaciones.</w:t>
            </w:r>
          </w:p>
        </w:tc>
        <w:tc>
          <w:tcPr>
            <w:tcW w:type="dxa" w:w="2800"/>
            <w:tcMar>
              <w:top w:type="dxa" w:w="70"/>
              <w:left w:type="dxa" w:w="100"/>
              <w:bottom w:type="dxa" w:w="70"/>
              <w:right w:type="dxa" w:w="100"/>
            </w:tcMar>
          </w:tcPr>
          <w:p>
            <w:r>
              <w:rPr>
                <w:sz w:val="19"/>
                <w:szCs w:val="19"/>
              </w:rPr>
              <w:t xml:space="preserve">Estímulo económico según superficie y sobrevivencia</w:t>
            </w:r>
          </w:p>
        </w:tc>
      </w:tr>
      <w:tr>
        <w:tc>
          <w:tcPr>
            <w:tcW w:type="dxa" w:w="2600"/>
            <w:shd w:fill="E8F3E9" w:val="clear"/>
            <w:tcMar>
              <w:top w:type="dxa" w:w="70"/>
              <w:left w:type="dxa" w:w="100"/>
              <w:bottom w:type="dxa" w:w="70"/>
              <w:right w:type="dxa" w:w="100"/>
            </w:tcMar>
          </w:tcPr>
          <w:p>
            <w:r>
              <w:rPr>
                <w:sz w:val="19"/>
                <w:szCs w:val="19"/>
              </w:rPr>
              <w:t xml:space="preserve">Restauración Forestal Integral</w:t>
            </w:r>
          </w:p>
        </w:tc>
        <w:tc>
          <w:tcPr>
            <w:tcW w:type="dxa" w:w="4200"/>
            <w:shd w:fill="E8F3E9" w:val="clear"/>
            <w:tcMar>
              <w:top w:type="dxa" w:w="70"/>
              <w:left w:type="dxa" w:w="100"/>
              <w:bottom w:type="dxa" w:w="70"/>
              <w:right w:type="dxa" w:w="100"/>
            </w:tcMar>
          </w:tcPr>
          <w:p>
            <w:r>
              <w:rPr>
                <w:sz w:val="19"/>
                <w:szCs w:val="19"/>
              </w:rPr>
              <w:t xml:space="preserve">Obras de conservación de suelos, captación de agua, reforestación y protección de áreas restauradas.</w:t>
            </w:r>
          </w:p>
        </w:tc>
        <w:tc>
          <w:tcPr>
            <w:tcW w:type="dxa" w:w="2800"/>
            <w:shd w:fill="E8F3E9" w:val="clear"/>
            <w:tcMar>
              <w:top w:type="dxa" w:w="70"/>
              <w:left w:type="dxa" w:w="100"/>
              <w:bottom w:type="dxa" w:w="70"/>
              <w:right w:type="dxa" w:w="100"/>
            </w:tcMar>
          </w:tcPr>
          <w:p>
            <w:r>
              <w:rPr>
                <w:sz w:val="19"/>
                <w:szCs w:val="19"/>
              </w:rPr>
              <w:t xml:space="preserve">Hasta $30,000 por hectárea [7]</w:t>
            </w:r>
          </w:p>
        </w:tc>
      </w:tr>
    </w:tbl>
    <w:p>
      <w:pPr>
        <w:spacing w:after="200" w:before="200"/>
      </w:pPr>
    </w:p>
    <w:p>
      <w:pPr>
        <w:pStyle w:val="Heading2"/>
        <w:spacing w:after="120" w:before="300"/>
      </w:pPr>
      <w:r>
        <w:rPr>
          <w:b/>
          <w:bCs/>
          <w:color w:val="2E7D32"/>
          <w:sz w:val="24"/>
          <w:szCs w:val="24"/>
        </w:rPr>
        <w:t xml:space="preserve">3.3 Cómo se otorgan los apoyos</w:t>
      </w:r>
    </w:p>
    <w:p>
      <w:pPr>
        <w:spacing w:after="160" w:line="276"/>
        <w:jc w:val="both"/>
      </w:pPr>
      <w:r>
        <w:rPr>
          <w:color w:val="222222"/>
          <w:sz w:val="21"/>
          <w:szCs w:val="21"/>
        </w:rPr>
        <w:t xml:space="preserve">El proceso de otorgamiento sigue una ruta estandarizada, publicada cada año mediante convocatoria oficial en la Gaceta del Gobierno del Estado de México [38][39][41]:</w:t>
      </w:r>
    </w:p>
    <w:p>
      <w:pPr>
        <w:pStyle w:val="ListParagraph"/>
        <w:numPr>
          <w:ilvl w:val="0"/>
          <w:numId w:val="4"/>
        </w:numPr>
        <w:spacing w:after="90" w:line="276"/>
      </w:pPr>
      <w:r>
        <w:rPr>
          <w:color w:val="222222"/>
          <w:sz w:val="21"/>
          <w:szCs w:val="21"/>
        </w:rPr>
        <w:t xml:space="preserve">Publicación de la convocatoria anual, que detalla los programas participantes, conceptos de apoyo y periodo de recepción de solicitudes.</w:t>
      </w:r>
    </w:p>
    <w:p>
      <w:pPr>
        <w:pStyle w:val="ListParagraph"/>
        <w:numPr>
          <w:ilvl w:val="0"/>
          <w:numId w:val="4"/>
        </w:numPr>
        <w:spacing w:after="90" w:line="276"/>
      </w:pPr>
      <w:r>
        <w:rPr>
          <w:color w:val="222222"/>
          <w:sz w:val="21"/>
          <w:szCs w:val="21"/>
        </w:rPr>
        <w:t xml:space="preserve">La persona interesada presenta la Solicitud Única (formato FO-PB-501 A o B) y el Registro de Información de la Persona Solicitante y/o Beneficiaria (FO-PB-502), en oficinas centrales o en la delegación regional forestal correspondiente.</w:t>
      </w:r>
    </w:p>
    <w:p>
      <w:pPr>
        <w:pStyle w:val="ListParagraph"/>
        <w:numPr>
          <w:ilvl w:val="0"/>
          <w:numId w:val="4"/>
        </w:numPr>
        <w:spacing w:after="90" w:line="276"/>
      </w:pPr>
      <w:r>
        <w:rPr>
          <w:color w:val="222222"/>
          <w:sz w:val="21"/>
          <w:szCs w:val="21"/>
        </w:rPr>
        <w:t xml:space="preserve">Para trámites de manejo forestal o certificación, la solicitud debe presentarse a través de un prestador de servicios técnicos inscrito en el Padrón de Prestadores de Servicios Técnicos Forestales [59][61].</w:t>
      </w:r>
    </w:p>
    <w:p>
      <w:pPr>
        <w:pStyle w:val="ListParagraph"/>
        <w:numPr>
          <w:ilvl w:val="0"/>
          <w:numId w:val="4"/>
        </w:numPr>
        <w:spacing w:after="90" w:line="276"/>
      </w:pPr>
      <w:r>
        <w:rPr>
          <w:color w:val="222222"/>
          <w:sz w:val="21"/>
          <w:szCs w:val="21"/>
        </w:rPr>
        <w:t xml:space="preserve">El Comité de Admisión y Seguimiento revisa y valida los expedientes, asignando a las personas beneficiarias conforme a los criterios técnicos y presupuesto disponible; quienes cumplen requisitos pero no reciben asignación inmediata pasan a una lista de espera [30][43].</w:t>
      </w:r>
    </w:p>
    <w:p>
      <w:pPr>
        <w:pStyle w:val="ListParagraph"/>
        <w:numPr>
          <w:ilvl w:val="0"/>
          <w:numId w:val="4"/>
        </w:numPr>
        <w:spacing w:after="90" w:line="276"/>
      </w:pPr>
      <w:r>
        <w:rPr>
          <w:color w:val="222222"/>
          <w:sz w:val="21"/>
          <w:szCs w:val="21"/>
        </w:rPr>
        <w:t xml:space="preserve">Firma del Contrato o Convenio de Adhesión entre la persona beneficiaria y PROBOSQUE.</w:t>
      </w:r>
    </w:p>
    <w:p>
      <w:pPr>
        <w:pStyle w:val="ListParagraph"/>
        <w:numPr>
          <w:ilvl w:val="0"/>
          <w:numId w:val="4"/>
        </w:numPr>
        <w:spacing w:after="90" w:line="276"/>
      </w:pPr>
      <w:r>
        <w:rPr>
          <w:color w:val="222222"/>
          <w:sz w:val="21"/>
          <w:szCs w:val="21"/>
        </w:rPr>
        <w:t xml:space="preserve">Entrega del estímulo económico en ministraciones (generalmente 70 % al inicio y 30 % a la conclusión de las actividades comprometidas), junto con la planta forestal y la asistencia técnica correspondiente [30].</w:t>
      </w:r>
    </w:p>
    <w:p>
      <w:pPr>
        <w:pStyle w:val="ListParagraph"/>
        <w:numPr>
          <w:ilvl w:val="0"/>
          <w:numId w:val="4"/>
        </w:numPr>
        <w:spacing w:after="90" w:line="276"/>
      </w:pPr>
      <w:r>
        <w:rPr>
          <w:color w:val="222222"/>
          <w:sz w:val="21"/>
          <w:szCs w:val="21"/>
        </w:rPr>
        <w:t xml:space="preserve">Verificación técnica en campo por personal de las delegaciones regionales, que valida el índice de sobrevivencia y el cumplimiento de las actividades antes de liberar la segunda ministración.</w:t>
      </w:r>
    </w:p>
    <w:p>
      <w:pPr>
        <w:pStyle w:val="ListParagraph"/>
        <w:numPr>
          <w:ilvl w:val="0"/>
          <w:numId w:val="4"/>
        </w:numPr>
        <w:spacing w:after="90" w:line="276"/>
      </w:pPr>
      <w:r>
        <w:rPr>
          <w:color w:val="222222"/>
          <w:sz w:val="21"/>
          <w:szCs w:val="21"/>
        </w:rPr>
        <w:t xml:space="preserve">Publicación de los listados de personas beneficiarias, de solicitudes no procedentes y de beneficiarios incumplidos, como parte de la rendición de cuentas del programa [38][41].</w:t>
      </w:r>
    </w:p>
    <w:p>
      <w:pPr>
        <w:pStyle w:val="Heading2"/>
        <w:spacing w:after="120" w:before="300"/>
      </w:pPr>
      <w:r>
        <w:rPr>
          <w:b/>
          <w:bCs/>
          <w:color w:val="2E7D32"/>
          <w:sz w:val="24"/>
          <w:szCs w:val="24"/>
        </w:rPr>
        <w:t xml:space="preserve">3.4 Cobertura — a cuántas personas y hectáreas atienden</w:t>
      </w:r>
    </w:p>
    <w:p>
      <w:pPr>
        <w:pStyle w:val="ListParagraph"/>
        <w:numPr>
          <w:ilvl w:val="0"/>
          <w:numId w:val="3"/>
        </w:numPr>
        <w:spacing w:after="90" w:line="276"/>
      </w:pPr>
      <w:r>
        <w:rPr>
          <w:color w:val="222222"/>
          <w:sz w:val="21"/>
          <w:szCs w:val="21"/>
        </w:rPr>
        <w:t xml:space="preserve">El Programa de Pago por Servicios Ambientales Hidrológicos busca pasar de 85 mil a 90 mil hectáreas conservadas durante 2026 [40].</w:t>
      </w:r>
    </w:p>
    <w:p>
      <w:pPr>
        <w:pStyle w:val="ListParagraph"/>
        <w:numPr>
          <w:ilvl w:val="0"/>
          <w:numId w:val="3"/>
        </w:numPr>
        <w:spacing w:after="90" w:line="276"/>
      </w:pPr>
      <w:r>
        <w:rPr>
          <w:color w:val="222222"/>
          <w:sz w:val="21"/>
          <w:szCs w:val="21"/>
        </w:rPr>
        <w:t xml:space="preserve">Para la campaña 2026 de restauración hidrológico-forestal se proyecta la plantación de más de 6 millones de árboles [40].</w:t>
      </w:r>
    </w:p>
    <w:p>
      <w:pPr>
        <w:pStyle w:val="ListParagraph"/>
        <w:numPr>
          <w:ilvl w:val="0"/>
          <w:numId w:val="3"/>
        </w:numPr>
        <w:spacing w:after="90" w:line="276"/>
      </w:pPr>
      <w:r>
        <w:rPr>
          <w:color w:val="222222"/>
          <w:sz w:val="21"/>
          <w:szCs w:val="21"/>
        </w:rPr>
        <w:t xml:space="preserve">Durante la administración vigente (a 2026) se han reforestado más de 68 mil hectáreas en el Estado de México [4].</w:t>
      </w:r>
    </w:p>
    <w:p>
      <w:pPr>
        <w:pStyle w:val="ListParagraph"/>
        <w:numPr>
          <w:ilvl w:val="0"/>
          <w:numId w:val="3"/>
        </w:numPr>
        <w:spacing w:after="90" w:line="276"/>
      </w:pPr>
      <w:r>
        <w:rPr>
          <w:color w:val="222222"/>
          <w:sz w:val="21"/>
          <w:szCs w:val="21"/>
        </w:rPr>
        <w:t xml:space="preserve">En 2025 el organismo produjo más de 6.7 millones de plantas en sus 17 viveros forestales [7].</w:t>
      </w:r>
    </w:p>
    <w:p>
      <w:pPr>
        <w:pStyle w:val="ListParagraph"/>
        <w:numPr>
          <w:ilvl w:val="0"/>
          <w:numId w:val="3"/>
        </w:numPr>
        <w:spacing w:after="90" w:line="276"/>
      </w:pPr>
      <w:r>
        <w:rPr>
          <w:color w:val="222222"/>
          <w:sz w:val="21"/>
          <w:szCs w:val="21"/>
        </w:rPr>
        <w:t xml:space="preserve">El Estado de México cuenta con 80 predios certificados internacionalmente bajo Manejo Forestal Sustentable (FSC), el mayor número a nivel nacional [9].</w:t>
      </w:r>
    </w:p>
    <w:p>
      <w:pPr>
        <w:pStyle w:val="ListParagraph"/>
        <w:numPr>
          <w:ilvl w:val="0"/>
          <w:numId w:val="3"/>
        </w:numPr>
        <w:spacing w:after="90" w:line="276"/>
      </w:pPr>
      <w:r>
        <w:rPr>
          <w:color w:val="222222"/>
          <w:sz w:val="21"/>
          <w:szCs w:val="21"/>
        </w:rPr>
        <w:t xml:space="preserve">Al 31 de marzo de 2023 se encontraban vigentes 104 predios con autorización de aprovechamiento no maderable [23].</w:t>
      </w:r>
    </w:p>
    <w:p>
      <w:pPr>
        <w:spacing w:after="200" w:before="80"/>
      </w:pPr>
      <w:r>
        <w:rPr>
          <w:i/>
          <w:iCs/>
          <w:color w:val="595959"/>
          <w:sz w:val="18"/>
          <w:szCs w:val="18"/>
        </w:rPr>
        <w:t xml:space="preserve">Las cifras de cobertura varían cada ejercicio fiscal conforme a la convocatoria vigente y el presupuesto autorizado; se recomienda consultar la convocatoria del año en curso en probosque.edomex.gob.mx para datos actualizados.</w:t>
      </w:r>
    </w:p>
    <w:p>
      <w:pPr>
        <w:pStyle w:val="Heading1"/>
        <w:pBdr>
          <w:bottom w:val="single" w:color="2E7D32" w:sz="8" w:space="4"/>
        </w:pBdr>
        <w:spacing w:after="200" w:before="400"/>
      </w:pPr>
      <w:r>
        <w:rPr>
          <w:b/>
          <w:bCs/>
          <w:color w:val="1F3B2C"/>
          <w:sz w:val="30"/>
          <w:szCs w:val="30"/>
        </w:rPr>
        <w:t xml:space="preserve">4. Banco de semillas (Banco de Germoplasma)</w:t>
      </w:r>
    </w:p>
    <w:p>
      <w:pPr>
        <w:spacing w:after="160" w:line="276"/>
        <w:jc w:val="both"/>
      </w:pPr>
      <w:r>
        <w:rPr>
          <w:color w:val="222222"/>
          <w:sz w:val="21"/>
          <w:szCs w:val="21"/>
        </w:rPr>
        <w:t xml:space="preserve">El Banco de Germoplasma de PROBOSQUE es la instancia encargada de recolectar, analizar, resguardar y distribuir semilla forestal de calidad, insumo base para la producción de planta que abastece todos los programas de reforestación del organismo. Se ubica en el Vivero Invernaderos, dentro del Conjunto SEDAGRO, en Metepec, Estado de México [20][21].</w:t>
      </w:r>
    </w:p>
    <w:p>
      <w:pPr>
        <w:pStyle w:val="Heading2"/>
        <w:spacing w:after="120" w:before="300"/>
      </w:pPr>
      <w:r>
        <w:rPr>
          <w:b/>
          <w:bCs/>
          <w:color w:val="2E7D32"/>
          <w:sz w:val="24"/>
          <w:szCs w:val="24"/>
        </w:rPr>
        <w:t xml:space="preserve">4.1 Tipos de semillas</w:t>
      </w:r>
    </w:p>
    <w:p>
      <w:pPr>
        <w:spacing w:after="160" w:line="276"/>
        <w:jc w:val="both"/>
      </w:pPr>
      <w:r>
        <w:rPr>
          <w:color w:val="222222"/>
          <w:sz w:val="21"/>
          <w:szCs w:val="21"/>
        </w:rPr>
        <w:t xml:space="preserve">El banco resguarda semilla de especies de clima templado-frío y de clima cálido, entre las que destacan [21][24][26][27]:</w:t>
      </w:r>
    </w:p>
    <w:p>
      <w:pPr>
        <w:pStyle w:val="ListParagraph"/>
        <w:numPr>
          <w:ilvl w:val="0"/>
          <w:numId w:val="3"/>
        </w:numPr>
        <w:spacing w:after="90" w:line="276"/>
      </w:pPr>
      <w:r>
        <w:rPr>
          <w:color w:val="222222"/>
          <w:sz w:val="21"/>
          <w:szCs w:val="21"/>
        </w:rPr>
        <w:t xml:space="preserve">Oyamel (Abies religiosa)</w:t>
      </w:r>
    </w:p>
    <w:p>
      <w:pPr>
        <w:pStyle w:val="ListParagraph"/>
        <w:numPr>
          <w:ilvl w:val="0"/>
          <w:numId w:val="3"/>
        </w:numPr>
        <w:spacing w:after="90" w:line="276"/>
      </w:pPr>
      <w:r>
        <w:rPr>
          <w:color w:val="222222"/>
          <w:sz w:val="21"/>
          <w:szCs w:val="21"/>
        </w:rPr>
        <w:t xml:space="preserve">Pino de las alturas (Pinus hartwegii)</w:t>
      </w:r>
    </w:p>
    <w:p>
      <w:pPr>
        <w:pStyle w:val="ListParagraph"/>
        <w:numPr>
          <w:ilvl w:val="0"/>
          <w:numId w:val="3"/>
        </w:numPr>
        <w:spacing w:after="90" w:line="276"/>
      </w:pPr>
      <w:r>
        <w:rPr>
          <w:color w:val="222222"/>
          <w:sz w:val="21"/>
          <w:szCs w:val="21"/>
        </w:rPr>
        <w:t xml:space="preserve">Pino real o montezuma (Pinus montezumae)</w:t>
      </w:r>
    </w:p>
    <w:p>
      <w:pPr>
        <w:pStyle w:val="ListParagraph"/>
        <w:numPr>
          <w:ilvl w:val="0"/>
          <w:numId w:val="3"/>
        </w:numPr>
        <w:spacing w:after="90" w:line="276"/>
      </w:pPr>
      <w:r>
        <w:rPr>
          <w:color w:val="222222"/>
          <w:sz w:val="21"/>
          <w:szCs w:val="21"/>
        </w:rPr>
        <w:t xml:space="preserve">Pino liso (Pinus pseudostrobus)</w:t>
      </w:r>
    </w:p>
    <w:p>
      <w:pPr>
        <w:pStyle w:val="ListParagraph"/>
        <w:numPr>
          <w:ilvl w:val="0"/>
          <w:numId w:val="3"/>
        </w:numPr>
        <w:spacing w:after="90" w:line="276"/>
      </w:pPr>
      <w:r>
        <w:rPr>
          <w:color w:val="222222"/>
          <w:sz w:val="21"/>
          <w:szCs w:val="21"/>
        </w:rPr>
        <w:t xml:space="preserve">Pino de navidad (Pinus ayacahuite)</w:t>
      </w:r>
    </w:p>
    <w:p>
      <w:pPr>
        <w:pStyle w:val="ListParagraph"/>
        <w:numPr>
          <w:ilvl w:val="0"/>
          <w:numId w:val="3"/>
        </w:numPr>
        <w:spacing w:after="90" w:line="276"/>
      </w:pPr>
      <w:r>
        <w:rPr>
          <w:color w:val="222222"/>
          <w:sz w:val="21"/>
          <w:szCs w:val="21"/>
        </w:rPr>
        <w:t xml:space="preserve">Pino triste (Pinus patula) y pino prieto (Pinus greggii)</w:t>
      </w:r>
    </w:p>
    <w:p>
      <w:pPr>
        <w:pStyle w:val="ListParagraph"/>
        <w:numPr>
          <w:ilvl w:val="0"/>
          <w:numId w:val="3"/>
        </w:numPr>
        <w:spacing w:after="90" w:line="276"/>
      </w:pPr>
      <w:r>
        <w:rPr>
          <w:color w:val="222222"/>
          <w:sz w:val="21"/>
          <w:szCs w:val="21"/>
        </w:rPr>
        <w:t xml:space="preserve">Pino chino (Pinus leiophylla) y pino lacio (Pinus devoniana / oaxacana)</w:t>
      </w:r>
    </w:p>
    <w:p>
      <w:pPr>
        <w:pStyle w:val="ListParagraph"/>
        <w:numPr>
          <w:ilvl w:val="0"/>
          <w:numId w:val="3"/>
        </w:numPr>
        <w:spacing w:after="90" w:line="276"/>
      </w:pPr>
      <w:r>
        <w:rPr>
          <w:color w:val="222222"/>
          <w:sz w:val="21"/>
          <w:szCs w:val="21"/>
        </w:rPr>
        <w:t xml:space="preserve">Encino (Quercus rugosa y otras especies del género Quercus)</w:t>
      </w:r>
    </w:p>
    <w:p>
      <w:pPr>
        <w:pStyle w:val="ListParagraph"/>
        <w:numPr>
          <w:ilvl w:val="0"/>
          <w:numId w:val="3"/>
        </w:numPr>
        <w:spacing w:after="90" w:line="276"/>
      </w:pPr>
      <w:r>
        <w:rPr>
          <w:color w:val="222222"/>
          <w:sz w:val="21"/>
          <w:szCs w:val="21"/>
        </w:rPr>
        <w:t xml:space="preserve">Especies de clima cálido: melina (Gmelina arborea), espino herrero (Mimosa/Acacia guatemalensis), neem (Azadirachta indica), nanche (Byrsonima crassifolia)</w:t>
      </w:r>
    </w:p>
    <w:p>
      <w:pPr>
        <w:pStyle w:val="ListParagraph"/>
        <w:numPr>
          <w:ilvl w:val="0"/>
          <w:numId w:val="3"/>
        </w:numPr>
        <w:spacing w:after="90" w:line="276"/>
      </w:pPr>
      <w:r>
        <w:rPr>
          <w:color w:val="222222"/>
          <w:sz w:val="21"/>
          <w:szCs w:val="21"/>
        </w:rPr>
        <w:t xml:space="preserve">Otras especies frutales y ornamentales: níspero, mango, durazno, capulín, liquidambar, jacaranda, tabachín, acacias, eucaliptos</w:t>
      </w:r>
    </w:p>
    <w:p>
      <w:pPr>
        <w:spacing w:after="160" w:line="276"/>
        <w:jc w:val="both"/>
      </w:pPr>
      <w:r>
        <w:rPr>
          <w:color w:val="222222"/>
          <w:sz w:val="21"/>
          <w:szCs w:val="21"/>
        </w:rPr>
        <w:t xml:space="preserve">La capacidad total de almacenamiento del Banco de Germoplasma es de 10 toneladas; a la fecha reportada en 2026 se mantienen resguardadas alrededor de 2.5 a 2.8 toneladas de semilla de diversas especies, tras haberse colectado 2.51 toneladas durante 2024 [7][21].</w:t>
      </w:r>
    </w:p>
    <w:p>
      <w:pPr>
        <w:pStyle w:val="Heading2"/>
        <w:spacing w:after="120" w:before="300"/>
      </w:pPr>
      <w:r>
        <w:rPr>
          <w:b/>
          <w:bCs/>
          <w:color w:val="2E7D32"/>
          <w:sz w:val="24"/>
          <w:szCs w:val="24"/>
        </w:rPr>
        <w:t xml:space="preserve">4.2 Procedimiento — cómo se colecta, analiza y produce la planta</w:t>
      </w:r>
    </w:p>
    <w:p>
      <w:pPr>
        <w:pStyle w:val="ListParagraph"/>
        <w:numPr>
          <w:ilvl w:val="0"/>
          <w:numId w:val="5"/>
        </w:numPr>
        <w:spacing w:after="90" w:line="276"/>
      </w:pPr>
      <w:r>
        <w:rPr>
          <w:color w:val="222222"/>
          <w:sz w:val="21"/>
          <w:szCs w:val="21"/>
        </w:rPr>
        <w:t xml:space="preserve">Colecta de germoplasma: personal técnico selecciona y recolecta semilla de especies que vegetan de forma natural en el Estado de México, priorizando fuentes semilleras de calidad [21][22].</w:t>
      </w:r>
    </w:p>
    <w:p>
      <w:pPr>
        <w:pStyle w:val="ListParagraph"/>
        <w:numPr>
          <w:ilvl w:val="0"/>
          <w:numId w:val="5"/>
        </w:numPr>
        <w:spacing w:after="90" w:line="276"/>
      </w:pPr>
      <w:r>
        <w:rPr>
          <w:color w:val="222222"/>
          <w:sz w:val="21"/>
          <w:szCs w:val="21"/>
        </w:rPr>
        <w:t xml:space="preserve">Análisis en el Laboratorio de Germoplasma: se realizan pruebas de humedad, pureza, número de semillas por kilogramo, viabilidad y germinación, para determinar la cantidad de semilla requerida para cada meta de producción [21].</w:t>
      </w:r>
    </w:p>
    <w:p>
      <w:pPr>
        <w:pStyle w:val="ListParagraph"/>
        <w:numPr>
          <w:ilvl w:val="0"/>
          <w:numId w:val="5"/>
        </w:numPr>
        <w:spacing w:after="90" w:line="276"/>
      </w:pPr>
      <w:r>
        <w:rPr>
          <w:color w:val="222222"/>
          <w:sz w:val="21"/>
          <w:szCs w:val="21"/>
        </w:rPr>
        <w:t xml:space="preserve">Almacenamiento en el Banco de Germoplasma: la semilla analizada se resguarda en condiciones controladas que prolongan su viabilidad durante varios años, con capacidad de hasta 10 toneladas [21].</w:t>
      </w:r>
    </w:p>
    <w:p>
      <w:pPr>
        <w:pStyle w:val="ListParagraph"/>
        <w:numPr>
          <w:ilvl w:val="0"/>
          <w:numId w:val="5"/>
        </w:numPr>
        <w:spacing w:after="90" w:line="276"/>
      </w:pPr>
      <w:r>
        <w:rPr>
          <w:color w:val="222222"/>
          <w:sz w:val="21"/>
          <w:szCs w:val="21"/>
        </w:rPr>
        <w:t xml:space="preserve">Solicitud interna de semilla: cada vivero, a través del jefe de vivero y el Subdelegado de Restauración, solicita al Departamento de Producción de Planta la semilla necesaria mediante el "Formato para Solicitud de Semilla"; la salida de semilla del banco se documenta con el "Formato de Salida de Semilla del Banco de Germoplasma" [22].</w:t>
      </w:r>
    </w:p>
    <w:p>
      <w:pPr>
        <w:pStyle w:val="ListParagraph"/>
        <w:numPr>
          <w:ilvl w:val="0"/>
          <w:numId w:val="5"/>
        </w:numPr>
        <w:spacing w:after="90" w:line="276"/>
      </w:pPr>
      <w:r>
        <w:rPr>
          <w:color w:val="222222"/>
          <w:sz w:val="21"/>
          <w:szCs w:val="21"/>
        </w:rPr>
        <w:t xml:space="preserve">Producción de planta en vivero: se acondicionan las áreas, se preparan sustratos, se llena el envase (bolsa o charola) y se siembra; tras la germinación, la planta entra en fase de crecimiento con fertilización, riego, deshierbe y control fitosanitario, durante un periodo de 12 a 18 meses según la especie [24].</w:t>
      </w:r>
    </w:p>
    <w:p>
      <w:pPr>
        <w:pStyle w:val="ListParagraph"/>
        <w:numPr>
          <w:ilvl w:val="0"/>
          <w:numId w:val="5"/>
        </w:numPr>
        <w:spacing w:after="90" w:line="276"/>
      </w:pPr>
      <w:r>
        <w:rPr>
          <w:color w:val="222222"/>
          <w:sz w:val="21"/>
          <w:szCs w:val="21"/>
        </w:rPr>
        <w:t xml:space="preserve">Biotecnología forestal (complementaria): un laboratorio especializado desarrolla propagación in vitro para especies de importancia comercial, con capacidad de 33,324 explantes, en cuatro etapas: germinación, multiplicación, elongación y enraizamiento [25].</w:t>
      </w:r>
    </w:p>
    <w:p>
      <w:pPr>
        <w:pStyle w:val="ListParagraph"/>
        <w:numPr>
          <w:ilvl w:val="0"/>
          <w:numId w:val="5"/>
        </w:numPr>
        <w:spacing w:after="90" w:line="276"/>
      </w:pPr>
      <w:r>
        <w:rPr>
          <w:color w:val="222222"/>
          <w:sz w:val="21"/>
          <w:szCs w:val="21"/>
        </w:rPr>
        <w:t xml:space="preserve">Actualmente PROBOSQUE mantiene en existencia 10.4 millones de plantas en mantenimiento distribuidas en sus 17 viveros, listas para los programas de forestación, reforestación y plantaciones comerciales [7][24].</w:t>
      </w:r>
    </w:p>
    <w:p>
      <w:pPr>
        <w:pStyle w:val="Heading2"/>
        <w:spacing w:after="120" w:before="300"/>
      </w:pPr>
      <w:r>
        <w:rPr>
          <w:b/>
          <w:bCs/>
          <w:color w:val="2E7D32"/>
          <w:sz w:val="24"/>
          <w:szCs w:val="24"/>
        </w:rPr>
        <w:t xml:space="preserve">4.3 Cómo se entregan la semilla y la planta a las personas beneficiarias</w:t>
      </w:r>
    </w:p>
    <w:p>
      <w:pPr>
        <w:pStyle w:val="Heading3"/>
        <w:spacing w:after="100" w:before="200"/>
      </w:pPr>
      <w:r>
        <w:rPr>
          <w:b/>
          <w:bCs/>
          <w:i w:val="false"/>
          <w:iCs w:val="false"/>
          <w:color w:val="1F3B2C"/>
          <w:sz w:val="21"/>
          <w:szCs w:val="21"/>
        </w:rPr>
        <w:t xml:space="preserve">Donación de planta (restauración forestal social, sin costo)</w:t>
      </w:r>
    </w:p>
    <w:p>
      <w:pPr>
        <w:pStyle w:val="ListParagraph"/>
        <w:numPr>
          <w:ilvl w:val="0"/>
          <w:numId w:val="3"/>
        </w:numPr>
        <w:spacing w:after="90" w:line="276"/>
      </w:pPr>
      <w:r>
        <w:rPr>
          <w:color w:val="222222"/>
          <w:sz w:val="21"/>
          <w:szCs w:val="21"/>
        </w:rPr>
        <w:t xml:space="preserve">La persona interesada descarga y llena el formato "Solicitud de Restauración Forestal Social".</w:t>
      </w:r>
    </w:p>
    <w:p>
      <w:pPr>
        <w:pStyle w:val="ListParagraph"/>
        <w:numPr>
          <w:ilvl w:val="0"/>
          <w:numId w:val="3"/>
        </w:numPr>
        <w:spacing w:after="90" w:line="276"/>
      </w:pPr>
      <w:r>
        <w:rPr>
          <w:color w:val="222222"/>
          <w:sz w:val="21"/>
          <w:szCs w:val="21"/>
        </w:rPr>
        <w:t xml:space="preserve">La entrega en oficinas centrales (Rancho Guadalupe s/n, Conjunto SEDAGRO, Metepec) o en la delegación regional forestal más cercana, o la envía al correo electrónico institucional [19].</w:t>
      </w:r>
    </w:p>
    <w:p>
      <w:pPr>
        <w:pStyle w:val="ListParagraph"/>
        <w:numPr>
          <w:ilvl w:val="0"/>
          <w:numId w:val="3"/>
        </w:numPr>
        <w:spacing w:after="90" w:line="276"/>
      </w:pPr>
      <w:r>
        <w:rPr>
          <w:color w:val="222222"/>
          <w:sz w:val="21"/>
          <w:szCs w:val="21"/>
        </w:rPr>
        <w:t xml:space="preserve">PROBOSQUE da seguimiento a la solicitud y, en la temporada idónea de reforestación (junio a septiembre), notifica la disponibilidad mediante un "vale de planta" que indica la especie, cantidad asignada, el vivero correspondiente y el punto de recolección [19].</w:t>
      </w:r>
    </w:p>
    <w:p>
      <w:pPr>
        <w:pStyle w:val="Heading3"/>
        <w:spacing w:after="100" w:before="200"/>
      </w:pPr>
      <w:r>
        <w:rPr>
          <w:b/>
          <w:bCs/>
          <w:i w:val="false"/>
          <w:iCs w:val="false"/>
          <w:color w:val="1F3B2C"/>
          <w:sz w:val="21"/>
          <w:szCs w:val="21"/>
        </w:rPr>
        <w:t xml:space="preserve">Venta de semilla y planta (a público en general, con costo)</w:t>
      </w:r>
    </w:p>
    <w:p>
      <w:pPr>
        <w:pStyle w:val="ListParagraph"/>
        <w:numPr>
          <w:ilvl w:val="0"/>
          <w:numId w:val="3"/>
        </w:numPr>
        <w:spacing w:after="90" w:line="276"/>
      </w:pPr>
      <w:r>
        <w:rPr>
          <w:color w:val="222222"/>
          <w:sz w:val="21"/>
          <w:szCs w:val="21"/>
        </w:rPr>
        <w:t xml:space="preserve">La semilla se entrega en el Banco de Germoplasma y los conos en el área de Beneficio de Semilla, ambos dentro del Vivero Invernaderos [20].</w:t>
      </w:r>
    </w:p>
    <w:p>
      <w:pPr>
        <w:pStyle w:val="ListParagraph"/>
        <w:numPr>
          <w:ilvl w:val="0"/>
          <w:numId w:val="3"/>
        </w:numPr>
        <w:spacing w:after="90" w:line="276"/>
      </w:pPr>
      <w:r>
        <w:rPr>
          <w:color w:val="222222"/>
          <w:sz w:val="21"/>
          <w:szCs w:val="21"/>
        </w:rPr>
        <w:t xml:space="preserve">El pago se realiza en un centro autorizado (banco o establecimiento mercantil) mediante el Formato Universal de Pago emitido por PROBOSQUE [20].</w:t>
      </w:r>
    </w:p>
    <w:p>
      <w:pPr>
        <w:pStyle w:val="ListParagraph"/>
        <w:numPr>
          <w:ilvl w:val="0"/>
          <w:numId w:val="3"/>
        </w:numPr>
        <w:spacing w:after="90" w:line="276"/>
      </w:pPr>
      <w:r>
        <w:rPr>
          <w:color w:val="222222"/>
          <w:sz w:val="21"/>
          <w:szCs w:val="21"/>
        </w:rPr>
        <w:t xml:space="preserve">Los precios varían por especie; por ejemplo, en las listas de costos vigentes el kilogramo de semilla de oyamel se cotiza alrededor de $1,280 y el de pino real en más de $2,500, entre otras especies forestales, frutales y ornamentales [26][27].</w:t>
      </w:r>
    </w:p>
    <w:p>
      <w:pPr>
        <w:pStyle w:val="Heading1"/>
        <w:pBdr>
          <w:bottom w:val="single" w:color="2E7D32" w:sz="8" w:space="4"/>
        </w:pBdr>
        <w:spacing w:after="200" w:before="400"/>
      </w:pPr>
      <w:r>
        <w:rPr>
          <w:b/>
          <w:bCs/>
          <w:color w:val="1F3B2C"/>
          <w:sz w:val="30"/>
          <w:szCs w:val="30"/>
        </w:rPr>
        <w:t xml:space="preserve">5. Registros que aparecen a lo largo del proceso</w:t>
      </w:r>
    </w:p>
    <w:p>
      <w:pPr>
        <w:spacing w:after="160" w:line="276"/>
        <w:jc w:val="both"/>
      </w:pPr>
      <w:r>
        <w:rPr>
          <w:color w:val="222222"/>
          <w:sz w:val="21"/>
          <w:szCs w:val="21"/>
        </w:rPr>
        <w:t xml:space="preserve">A lo largo de los tres ejes (masa forestal, programas de apoyo y banco de semillas) se generan y consultan distintos registros y formatos oficiales, que dan trazabilidad y transparencia a la operación de PROBOSQUE: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6300"/>
      </w:tblGrid>
      <w:tr>
        <w:tc>
          <w:tcPr>
            <w:tcW w:type="dxa" w:w="3300"/>
            <w:shd w:fill="2E7D32" w:val="clear"/>
            <w:tcMar>
              <w:top w:type="dxa" w:w="80"/>
              <w:left w:type="dxa" w:w="100"/>
              <w:bottom w:type="dxa" w:w="80"/>
              <w:right w:type="dxa" w:w="100"/>
            </w:tcMar>
          </w:tcPr>
          <w:p>
            <w:r>
              <w:rPr>
                <w:b/>
                <w:bCs/>
                <w:color w:val="FFFFFF"/>
                <w:sz w:val="19"/>
                <w:szCs w:val="19"/>
              </w:rPr>
              <w:t xml:space="preserve">Registro / formato</w:t>
            </w:r>
          </w:p>
        </w:tc>
        <w:tc>
          <w:tcPr>
            <w:tcW w:type="dxa" w:w="6300"/>
            <w:shd w:fill="2E7D32" w:val="clear"/>
            <w:tcMar>
              <w:top w:type="dxa" w:w="80"/>
              <w:left w:type="dxa" w:w="100"/>
              <w:bottom w:type="dxa" w:w="80"/>
              <w:right w:type="dxa" w:w="100"/>
            </w:tcMar>
          </w:tcPr>
          <w:p>
            <w:r>
              <w:rPr>
                <w:b/>
                <w:bCs/>
                <w:color w:val="FFFFFF"/>
                <w:sz w:val="19"/>
                <w:szCs w:val="19"/>
              </w:rPr>
              <w:t xml:space="preserve">Función dentro del proceso</w:t>
            </w:r>
          </w:p>
        </w:tc>
      </w:tr>
      <w:tr>
        <w:tc>
          <w:tcPr>
            <w:tcW w:type="dxa" w:w="3300"/>
            <w:tcMar>
              <w:top w:type="dxa" w:w="70"/>
              <w:left w:type="dxa" w:w="100"/>
              <w:bottom w:type="dxa" w:w="70"/>
              <w:right w:type="dxa" w:w="100"/>
            </w:tcMar>
          </w:tcPr>
          <w:p>
            <w:r>
              <w:rPr>
                <w:sz w:val="19"/>
                <w:szCs w:val="19"/>
              </w:rPr>
              <w:t xml:space="preserve">Solicitud Única (FO-PB-501 A / B)</w:t>
            </w:r>
          </w:p>
        </w:tc>
        <w:tc>
          <w:tcPr>
            <w:tcW w:type="dxa" w:w="6300"/>
            <w:tcMar>
              <w:top w:type="dxa" w:w="70"/>
              <w:left w:type="dxa" w:w="100"/>
              <w:bottom w:type="dxa" w:w="70"/>
              <w:right w:type="dxa" w:w="100"/>
            </w:tcMar>
          </w:tcPr>
          <w:p>
            <w:r>
              <w:rPr>
                <w:sz w:val="19"/>
                <w:szCs w:val="19"/>
              </w:rPr>
              <w:t xml:space="preserve">Documento base para inscribirse a cualquiera de los programas de apoyo anuales.</w:t>
            </w:r>
          </w:p>
        </w:tc>
      </w:tr>
      <w:tr>
        <w:tc>
          <w:tcPr>
            <w:tcW w:type="dxa" w:w="3300"/>
            <w:shd w:fill="E8F3E9" w:val="clear"/>
            <w:tcMar>
              <w:top w:type="dxa" w:w="70"/>
              <w:left w:type="dxa" w:w="100"/>
              <w:bottom w:type="dxa" w:w="70"/>
              <w:right w:type="dxa" w:w="100"/>
            </w:tcMar>
          </w:tcPr>
          <w:p>
            <w:r>
              <w:rPr>
                <w:sz w:val="19"/>
                <w:szCs w:val="19"/>
              </w:rPr>
              <w:t xml:space="preserve">Registro de Información de la Persona Solicitante y/o Beneficiaria (FO-PB-502)</w:t>
            </w:r>
          </w:p>
        </w:tc>
        <w:tc>
          <w:tcPr>
            <w:tcW w:type="dxa" w:w="6300"/>
            <w:shd w:fill="E8F3E9" w:val="clear"/>
            <w:tcMar>
              <w:top w:type="dxa" w:w="70"/>
              <w:left w:type="dxa" w:w="100"/>
              <w:bottom w:type="dxa" w:w="70"/>
              <w:right w:type="dxa" w:w="100"/>
            </w:tcMar>
          </w:tcPr>
          <w:p>
            <w:r>
              <w:rPr>
                <w:sz w:val="19"/>
                <w:szCs w:val="19"/>
              </w:rPr>
              <w:t xml:space="preserve">Captura los datos legales y de contacto de quien solicita apoyo.</w:t>
            </w:r>
          </w:p>
        </w:tc>
      </w:tr>
      <w:tr>
        <w:tc>
          <w:tcPr>
            <w:tcW w:type="dxa" w:w="3300"/>
            <w:tcMar>
              <w:top w:type="dxa" w:w="70"/>
              <w:left w:type="dxa" w:w="100"/>
              <w:bottom w:type="dxa" w:w="70"/>
              <w:right w:type="dxa" w:w="100"/>
            </w:tcMar>
          </w:tcPr>
          <w:p>
            <w:r>
              <w:rPr>
                <w:sz w:val="19"/>
                <w:szCs w:val="19"/>
              </w:rPr>
              <w:t xml:space="preserve">Padrón de Prestadores de Servicios Técnicos Forestales</w:t>
            </w:r>
          </w:p>
        </w:tc>
        <w:tc>
          <w:tcPr>
            <w:tcW w:type="dxa" w:w="6300"/>
            <w:tcMar>
              <w:top w:type="dxa" w:w="70"/>
              <w:left w:type="dxa" w:w="100"/>
              <w:bottom w:type="dxa" w:w="70"/>
              <w:right w:type="dxa" w:w="100"/>
            </w:tcMar>
          </w:tcPr>
          <w:p>
            <w:r>
              <w:rPr>
                <w:sz w:val="19"/>
                <w:szCs w:val="19"/>
              </w:rPr>
              <w:t xml:space="preserve">Registro de profesionales acreditados que pueden gestionar trámites de manejo y aprovechamiento forestal a nombre de terceros.</w:t>
            </w:r>
          </w:p>
        </w:tc>
      </w:tr>
      <w:tr>
        <w:tc>
          <w:tcPr>
            <w:tcW w:type="dxa" w:w="3300"/>
            <w:shd w:fill="E8F3E9" w:val="clear"/>
            <w:tcMar>
              <w:top w:type="dxa" w:w="70"/>
              <w:left w:type="dxa" w:w="100"/>
              <w:bottom w:type="dxa" w:w="70"/>
              <w:right w:type="dxa" w:w="100"/>
            </w:tcMar>
          </w:tcPr>
          <w:p>
            <w:r>
              <w:rPr>
                <w:sz w:val="19"/>
                <w:szCs w:val="19"/>
              </w:rPr>
              <w:t xml:space="preserve">Comité de Admisión y Seguimiento</w:t>
            </w:r>
          </w:p>
        </w:tc>
        <w:tc>
          <w:tcPr>
            <w:tcW w:type="dxa" w:w="6300"/>
            <w:shd w:fill="E8F3E9" w:val="clear"/>
            <w:tcMar>
              <w:top w:type="dxa" w:w="70"/>
              <w:left w:type="dxa" w:w="100"/>
              <w:bottom w:type="dxa" w:w="70"/>
              <w:right w:type="dxa" w:w="100"/>
            </w:tcMar>
          </w:tcPr>
          <w:p>
            <w:r>
              <w:rPr>
                <w:sz w:val="19"/>
                <w:szCs w:val="19"/>
              </w:rPr>
              <w:t xml:space="preserve">Instancia que valida expedientes, asigna beneficiarios y da seguimiento al cumplimiento de compromisos.</w:t>
            </w:r>
          </w:p>
        </w:tc>
      </w:tr>
      <w:tr>
        <w:tc>
          <w:tcPr>
            <w:tcW w:type="dxa" w:w="3300"/>
            <w:tcMar>
              <w:top w:type="dxa" w:w="70"/>
              <w:left w:type="dxa" w:w="100"/>
              <w:bottom w:type="dxa" w:w="70"/>
              <w:right w:type="dxa" w:w="100"/>
            </w:tcMar>
          </w:tcPr>
          <w:p>
            <w:r>
              <w:rPr>
                <w:sz w:val="19"/>
                <w:szCs w:val="19"/>
              </w:rPr>
              <w:t xml:space="preserve">Contrato / Convenio de Adhesión</w:t>
            </w:r>
          </w:p>
        </w:tc>
        <w:tc>
          <w:tcPr>
            <w:tcW w:type="dxa" w:w="6300"/>
            <w:tcMar>
              <w:top w:type="dxa" w:w="70"/>
              <w:left w:type="dxa" w:w="100"/>
              <w:bottom w:type="dxa" w:w="70"/>
              <w:right w:type="dxa" w:w="100"/>
            </w:tcMar>
          </w:tcPr>
          <w:p>
            <w:r>
              <w:rPr>
                <w:sz w:val="19"/>
                <w:szCs w:val="19"/>
              </w:rPr>
              <w:t xml:space="preserve">Formaliza el compromiso entre la persona beneficiaria y PROBOSQUE para recibir el estímulo.</w:t>
            </w:r>
          </w:p>
        </w:tc>
      </w:tr>
      <w:tr>
        <w:tc>
          <w:tcPr>
            <w:tcW w:type="dxa" w:w="3300"/>
            <w:shd w:fill="E8F3E9" w:val="clear"/>
            <w:tcMar>
              <w:top w:type="dxa" w:w="70"/>
              <w:left w:type="dxa" w:w="100"/>
              <w:bottom w:type="dxa" w:w="70"/>
              <w:right w:type="dxa" w:w="100"/>
            </w:tcMar>
          </w:tcPr>
          <w:p>
            <w:r>
              <w:rPr>
                <w:sz w:val="19"/>
                <w:szCs w:val="19"/>
              </w:rPr>
              <w:t xml:space="preserve">Listado de personas beneficiarias / Listado de espera / Listado de beneficiarios incumplidos</w:t>
            </w:r>
          </w:p>
        </w:tc>
        <w:tc>
          <w:tcPr>
            <w:tcW w:type="dxa" w:w="6300"/>
            <w:shd w:fill="E8F3E9" w:val="clear"/>
            <w:tcMar>
              <w:top w:type="dxa" w:w="70"/>
              <w:left w:type="dxa" w:w="100"/>
              <w:bottom w:type="dxa" w:w="70"/>
              <w:right w:type="dxa" w:w="100"/>
            </w:tcMar>
          </w:tcPr>
          <w:p>
            <w:r>
              <w:rPr>
                <w:sz w:val="19"/>
                <w:szCs w:val="19"/>
              </w:rPr>
              <w:t xml:space="preserve">Publicaciones de transparencia sobre quién recibe apoyo, quién queda en espera y quién incumplió compromisos.</w:t>
            </w:r>
          </w:p>
        </w:tc>
      </w:tr>
      <w:tr>
        <w:tc>
          <w:tcPr>
            <w:tcW w:type="dxa" w:w="3300"/>
            <w:tcMar>
              <w:top w:type="dxa" w:w="70"/>
              <w:left w:type="dxa" w:w="100"/>
              <w:bottom w:type="dxa" w:w="70"/>
              <w:right w:type="dxa" w:w="100"/>
            </w:tcMar>
          </w:tcPr>
          <w:p>
            <w:r>
              <w:rPr>
                <w:sz w:val="19"/>
                <w:szCs w:val="19"/>
              </w:rPr>
              <w:t xml:space="preserve">Formato para Solicitud de Semilla / Formato de Salida de Semilla del Banco de Germoplasma</w:t>
            </w:r>
          </w:p>
        </w:tc>
        <w:tc>
          <w:tcPr>
            <w:tcW w:type="dxa" w:w="6300"/>
            <w:tcMar>
              <w:top w:type="dxa" w:w="70"/>
              <w:left w:type="dxa" w:w="100"/>
              <w:bottom w:type="dxa" w:w="70"/>
              <w:right w:type="dxa" w:w="100"/>
            </w:tcMar>
          </w:tcPr>
          <w:p>
            <w:r>
              <w:rPr>
                <w:sz w:val="19"/>
                <w:szCs w:val="19"/>
              </w:rPr>
              <w:t xml:space="preserve">Documentan el movimiento interno de semilla desde el banco hacia los viveros de producción.</w:t>
            </w:r>
          </w:p>
        </w:tc>
      </w:tr>
      <w:tr>
        <w:tc>
          <w:tcPr>
            <w:tcW w:type="dxa" w:w="3300"/>
            <w:shd w:fill="E8F3E9" w:val="clear"/>
            <w:tcMar>
              <w:top w:type="dxa" w:w="70"/>
              <w:left w:type="dxa" w:w="100"/>
              <w:bottom w:type="dxa" w:w="70"/>
              <w:right w:type="dxa" w:w="100"/>
            </w:tcMar>
          </w:tcPr>
          <w:p>
            <w:r>
              <w:rPr>
                <w:sz w:val="19"/>
                <w:szCs w:val="19"/>
              </w:rPr>
              <w:t xml:space="preserve">Vale de planta</w:t>
            </w:r>
          </w:p>
        </w:tc>
        <w:tc>
          <w:tcPr>
            <w:tcW w:type="dxa" w:w="6300"/>
            <w:shd w:fill="E8F3E9" w:val="clear"/>
            <w:tcMar>
              <w:top w:type="dxa" w:w="70"/>
              <w:left w:type="dxa" w:w="100"/>
              <w:bottom w:type="dxa" w:w="70"/>
              <w:right w:type="dxa" w:w="100"/>
            </w:tcMar>
          </w:tcPr>
          <w:p>
            <w:r>
              <w:rPr>
                <w:sz w:val="19"/>
                <w:szCs w:val="19"/>
              </w:rPr>
              <w:t xml:space="preserve">Autoriza la recolección de planta donada, indicando especie, cantidad y vivero de origen.</w:t>
            </w:r>
          </w:p>
        </w:tc>
      </w:tr>
      <w:tr>
        <w:tc>
          <w:tcPr>
            <w:tcW w:type="dxa" w:w="3300"/>
            <w:tcMar>
              <w:top w:type="dxa" w:w="70"/>
              <w:left w:type="dxa" w:w="100"/>
              <w:bottom w:type="dxa" w:w="70"/>
              <w:right w:type="dxa" w:w="100"/>
            </w:tcMar>
          </w:tcPr>
          <w:p>
            <w:r>
              <w:rPr>
                <w:sz w:val="19"/>
                <w:szCs w:val="19"/>
              </w:rPr>
              <w:t xml:space="preserve">Formato Universal de Pago</w:t>
            </w:r>
          </w:p>
        </w:tc>
        <w:tc>
          <w:tcPr>
            <w:tcW w:type="dxa" w:w="6300"/>
            <w:tcMar>
              <w:top w:type="dxa" w:w="70"/>
              <w:left w:type="dxa" w:w="100"/>
              <w:bottom w:type="dxa" w:w="70"/>
              <w:right w:type="dxa" w:w="100"/>
            </w:tcMar>
          </w:tcPr>
          <w:p>
            <w:r>
              <w:rPr>
                <w:sz w:val="19"/>
                <w:szCs w:val="19"/>
              </w:rPr>
              <w:t xml:space="preserve">Comprueba el pago realizado en la compra de semilla o planta.</w:t>
            </w:r>
          </w:p>
        </w:tc>
      </w:tr>
      <w:tr>
        <w:tc>
          <w:tcPr>
            <w:tcW w:type="dxa" w:w="3300"/>
            <w:shd w:fill="E8F3E9" w:val="clear"/>
            <w:tcMar>
              <w:top w:type="dxa" w:w="70"/>
              <w:left w:type="dxa" w:w="100"/>
              <w:bottom w:type="dxa" w:w="70"/>
              <w:right w:type="dxa" w:w="100"/>
            </w:tcMar>
          </w:tcPr>
          <w:p>
            <w:r>
              <w:rPr>
                <w:sz w:val="19"/>
                <w:szCs w:val="19"/>
              </w:rPr>
              <w:t xml:space="preserve">Registro del Prestador de Servicios (Programa de Manejo Forestal)</w:t>
            </w:r>
          </w:p>
        </w:tc>
        <w:tc>
          <w:tcPr>
            <w:tcW w:type="dxa" w:w="6300"/>
            <w:shd w:fill="E8F3E9" w:val="clear"/>
            <w:tcMar>
              <w:top w:type="dxa" w:w="70"/>
              <w:left w:type="dxa" w:w="100"/>
              <w:bottom w:type="dxa" w:w="70"/>
              <w:right w:type="dxa" w:w="100"/>
            </w:tcMar>
          </w:tcPr>
          <w:p>
            <w:r>
              <w:rPr>
                <w:sz w:val="19"/>
                <w:szCs w:val="19"/>
              </w:rPr>
              <w:t xml:space="preserve">Acredita quién formuló y quién dirige la ejecución de un Programa de Manejo Forestal autorizado.</w:t>
            </w:r>
          </w:p>
        </w:tc>
      </w:tr>
    </w:tbl>
    <w:p>
      <w:pPr>
        <w:spacing w:after="200" w:before="200"/>
      </w:pPr>
    </w:p>
    <w:p>
      <w:pPr>
        <w:spacing w:after="200" w:before="80"/>
      </w:pPr>
      <w:r>
        <w:rPr>
          <w:i/>
          <w:iCs/>
          <w:color w:val="595959"/>
          <w:sz w:val="18"/>
          <w:szCs w:val="18"/>
        </w:rPr>
        <w:t xml:space="preserve">Fuentes: Convocatorias anuales publicadas en probosque.edomex.gob.mx [38][41]; Manual de Procedimientos de la Dirección de Restauración y Fomento Forestal [22]; Reglas de Operación del Programa PSAHEM publicadas en la Gaceta del Gobierno [39][42][43].</w:t>
      </w:r>
    </w:p>
    <w:p>
      <w:pPr>
        <w:pStyle w:val="Heading1"/>
        <w:pBdr>
          <w:bottom w:val="single" w:color="2E7D32" w:sz="8" w:space="4"/>
        </w:pBdr>
        <w:spacing w:after="200" w:before="400"/>
      </w:pPr>
      <w:r>
        <w:rPr>
          <w:b/>
          <w:bCs/>
          <w:color w:val="1F3B2C"/>
          <w:sz w:val="30"/>
          <w:szCs w:val="30"/>
        </w:rPr>
        <w:t xml:space="preserve">6. Cómo se enlazan las tres áreas</w:t>
      </w:r>
    </w:p>
    <w:p>
      <w:pPr>
        <w:spacing w:after="160" w:line="276"/>
        <w:jc w:val="both"/>
      </w:pPr>
      <w:r>
        <w:rPr>
          <w:color w:val="222222"/>
          <w:sz w:val="21"/>
          <w:szCs w:val="21"/>
        </w:rPr>
        <w:t xml:space="preserve">Las tres piezas descritas —masa forestal, programas de apoyo y banco de semillas— no operan de manera aislada: forman un ciclo continuo donde cada una depende de las otras dos.</w:t>
      </w:r>
    </w:p>
    <w:p>
      <w:pPr>
        <w:spacing w:after="160" w:line="276"/>
        <w:jc w:val="both"/>
      </w:pPr>
      <w:r>
        <w:rPr>
          <w:color w:val="222222"/>
          <w:sz w:val="21"/>
          <w:szCs w:val="21"/>
        </w:rPr>
        <w:t xml:space="preserve">El eje de masa forestal aporta el diagnóstico y la vigilancia: las delegaciones regionales forestales y las brigadas identifican qué predios necesitan restauración, sufrieron incendios o degradación, y cuáles cumplen los requisitos legales (tenencia de la tierra, ausencia de conflictos agrarios) para participar en un programa. Sin esta estructura territorial no habría manera de canalizar solicitudes ni de verificar en campo el cumplimiento de los compromisos.</w:t>
      </w:r>
    </w:p>
    <w:p>
      <w:pPr>
        <w:spacing w:after="160" w:line="276"/>
        <w:jc w:val="both"/>
      </w:pPr>
      <w:r>
        <w:rPr>
          <w:color w:val="222222"/>
          <w:sz w:val="21"/>
          <w:szCs w:val="21"/>
        </w:rPr>
        <w:t xml:space="preserve">Los programas de apoyo son el mecanismo financiero y contractual que convierte ese diagnóstico en acción: convocan a los propietarios y poseedores de bosque, formalizan su participación mediante contratos de adhesión, y entregan el estímulo económico junto con la planta y la asistencia técnica necesarias para reforestar, conservar suelo, manejar el bosque de forma sustentable o proteger zonas de recarga hídrica.</w:t>
      </w:r>
    </w:p>
    <w:p>
      <w:pPr>
        <w:spacing w:after="160" w:line="276"/>
        <w:jc w:val="both"/>
      </w:pPr>
      <w:r>
        <w:rPr>
          <w:color w:val="222222"/>
          <w:sz w:val="21"/>
          <w:szCs w:val="21"/>
        </w:rPr>
        <w:t xml:space="preserve">El banco de semillas es el insumo productivo que hace posible cumplir lo pactado en los programas: sin semilla de calidad, analizada y almacenada, los 17 viveros no podrían producir los millones de plantas que se entregan cada año a quienes participan en Reforestando Edoméx, Restauración Hidrológico-Forestal, Manejo Forestal Sustentable o la donación social de planta. A su vez, la demanda generada por los programas —y por la venta directa a la ciudadanía— determina cuánta semilla debe colectarse cada temporada y de qué especies.</w:t>
      </w:r>
    </w:p>
    <w:p>
      <w:pPr>
        <w:spacing w:after="160" w:line="276"/>
        <w:jc w:val="both"/>
      </w:pPr>
      <w:r>
        <w:rPr>
          <w:color w:val="222222"/>
          <w:sz w:val="21"/>
          <w:szCs w:val="21"/>
        </w:rPr>
        <w:t xml:space="preserve">En síntesis, el flujo típico es: (1) las delegaciones regionales y brigadas de masa forestal detectan la necesidad y reciben o promueven la solicitud; (2) el programa de apoyo correspondiente evalúa, admite y contrata a la persona beneficiaria, y le asigna un estímulo económico; (3) el banco de semillas y los viveros producen y entregan la planta necesaria para cumplir el compromiso; y (4) el personal técnico de las delegaciones regionales regresa a campo para verificar la sobrevivencia y liberar la segunda ministración del apoyo, cerrando el ciclo y alimentando el diagnóstico del siguiente año.</w:t>
      </w:r>
    </w:p>
    <w:p>
      <w:pPr>
        <w:pStyle w:val="Heading1"/>
        <w:pBdr>
          <w:bottom w:val="single" w:color="2E7D32" w:sz="8" w:space="4"/>
        </w:pBdr>
        <w:spacing w:after="200" w:before="400"/>
      </w:pPr>
      <w:r>
        <w:rPr>
          <w:b/>
          <w:bCs/>
          <w:color w:val="1F3B2C"/>
          <w:sz w:val="30"/>
          <w:szCs w:val="30"/>
        </w:rPr>
        <w:t xml:space="preserve">7. Fuentes y referencias</w:t>
      </w:r>
    </w:p>
    <w:p>
      <w:pPr>
        <w:spacing w:after="200" w:before="80"/>
      </w:pPr>
      <w:r>
        <w:rPr>
          <w:i/>
          <w:iCs/>
          <w:color w:val="595959"/>
          <w:sz w:val="18"/>
          <w:szCs w:val="18"/>
        </w:rPr>
        <w:t xml:space="preserve">Todas las fuentes fueron consultadas en agosto de 2026. Las cifras de cobertura, montos y padrones corresponden a la información disponible en la fecha de consulta y pueden variar en convocatorias posteriores.</w:t>
      </w:r>
    </w:p>
    <w:p>
      <w:pPr>
        <w:spacing w:after="160" w:line="276"/>
        <w:jc w:val="both"/>
      </w:pPr>
      <w:r>
        <w:rPr>
          <w:color w:val="222222"/>
          <w:sz w:val="21"/>
          <w:szCs w:val="21"/>
        </w:rPr>
        <w:t xml:space="preserve">[1] Acerca de PROBOSQUE — Gobierno del Estado de México. http://probosque.edomex.gob.mx/acerca_probosque</w:t>
      </w:r>
    </w:p>
    <w:p>
      <w:pPr>
        <w:spacing w:after="160" w:line="276"/>
        <w:jc w:val="both"/>
      </w:pPr>
      <w:r>
        <w:rPr>
          <w:color w:val="222222"/>
          <w:sz w:val="21"/>
          <w:szCs w:val="21"/>
        </w:rPr>
        <w:t xml:space="preserve">[4] Cumple Probosque 32 años de impulsar el manejo y cuidado de los bosques del Estado de México — Consejo Estatal de la Agenda 2030. https://agenda2030.edomex.gob.mx/node/304</w:t>
      </w:r>
    </w:p>
    <w:p>
      <w:pPr>
        <w:spacing w:after="160" w:line="276"/>
        <w:jc w:val="both"/>
      </w:pPr>
      <w:r>
        <w:rPr>
          <w:color w:val="222222"/>
          <w:sz w:val="21"/>
          <w:szCs w:val="21"/>
        </w:rPr>
        <w:t xml:space="preserve">[6] Antecedentes — Probosque, Gobierno del Estado de México. http://probosque.edomex.gob.mx/antecedentes</w:t>
      </w:r>
    </w:p>
    <w:p>
      <w:pPr>
        <w:spacing w:after="160" w:line="276"/>
        <w:jc w:val="both"/>
      </w:pPr>
      <w:r>
        <w:rPr>
          <w:color w:val="222222"/>
          <w:sz w:val="21"/>
          <w:szCs w:val="21"/>
        </w:rPr>
        <w:t xml:space="preserve">[7] Probosque cumple 36 años protegiendo los bosques del Estado de México y estos son los resultados — Mi Escaparate. https://miescaparate.com.mx/probosque-36-anos-bosques-estado-de-mexico/</w:t>
      </w:r>
    </w:p>
    <w:p>
      <w:pPr>
        <w:spacing w:after="160" w:line="276"/>
        <w:jc w:val="both"/>
      </w:pPr>
      <w:r>
        <w:rPr>
          <w:color w:val="222222"/>
          <w:sz w:val="21"/>
          <w:szCs w:val="21"/>
        </w:rPr>
        <w:t xml:space="preserve">[8] Se fortalecerá la protección de bosques en el Estado de México — CONAMER, gob.mx. https://www.gob.mx/conamer/prensa/se-fortalecera-la-proteccion-de-bosques-en-el-estado-de-mexico</w:t>
      </w:r>
    </w:p>
    <w:p>
      <w:pPr>
        <w:spacing w:after="160" w:line="276"/>
        <w:jc w:val="both"/>
      </w:pPr>
      <w:r>
        <w:rPr>
          <w:color w:val="222222"/>
          <w:sz w:val="21"/>
          <w:szCs w:val="21"/>
        </w:rPr>
        <w:t xml:space="preserve">[9] Celebra Probosque 36 años de servicio a favor de los bosques mexiquenses — La Noticia ES. https://www.lanoticiaes.com/post/celebra-probosque-36-a%C3%B1os-de-servicio-a-favor-de-los-bosques-mexiquenses</w:t>
      </w:r>
    </w:p>
    <w:p>
      <w:pPr>
        <w:spacing w:after="160" w:line="276"/>
        <w:jc w:val="both"/>
      </w:pPr>
      <w:r>
        <w:rPr>
          <w:color w:val="222222"/>
          <w:sz w:val="21"/>
          <w:szCs w:val="21"/>
        </w:rPr>
        <w:t xml:space="preserve">[10] Celebra Probosque 36 años de servicio a favor de los bosques mexiquenses — Caudal Informativo. https://www.caudalinformativo.com/2026/06/14/celebra-probosque-36-anos-de-servicio-a-favor-de-los-bosques-mexiquenses/</w:t>
      </w:r>
    </w:p>
    <w:p>
      <w:pPr>
        <w:spacing w:after="160" w:line="276"/>
        <w:jc w:val="both"/>
      </w:pPr>
      <w:r>
        <w:rPr>
          <w:color w:val="222222"/>
          <w:sz w:val="21"/>
          <w:szCs w:val="21"/>
        </w:rPr>
        <w:t xml:space="preserve">[19] Donación de planta — Probosque. http://probosque.edomex.gob.mx/donacion-planta</w:t>
      </w:r>
    </w:p>
    <w:p>
      <w:pPr>
        <w:spacing w:after="160" w:line="276"/>
        <w:jc w:val="both"/>
      </w:pPr>
      <w:r>
        <w:rPr>
          <w:color w:val="222222"/>
          <w:sz w:val="21"/>
          <w:szCs w:val="21"/>
        </w:rPr>
        <w:t xml:space="preserve">[20] Venta de semilla y planta — Probosque. http://probosque.edomex.gob.mx/venta_semilla_planta</w:t>
      </w:r>
    </w:p>
    <w:p>
      <w:pPr>
        <w:spacing w:after="160" w:line="276"/>
        <w:jc w:val="both"/>
      </w:pPr>
      <w:r>
        <w:rPr>
          <w:color w:val="222222"/>
          <w:sz w:val="21"/>
          <w:szCs w:val="21"/>
        </w:rPr>
        <w:t xml:space="preserve">[21] Colecta de germoplasma — Probosque. http://probosque.edomex.gob.mx/colecta_germoplasma</w:t>
      </w:r>
    </w:p>
    <w:p>
      <w:pPr>
        <w:spacing w:after="160" w:line="276"/>
        <w:jc w:val="both"/>
      </w:pPr>
      <w:r>
        <w:rPr>
          <w:color w:val="222222"/>
          <w:sz w:val="21"/>
          <w:szCs w:val="21"/>
        </w:rPr>
        <w:t xml:space="preserve">[22] Manual de Procedimientos de la Dirección de Restauración y Fomento Forestal — PROBOSQUE. https://probosque.edomex.gob.mx/sites/probosque.edomex.gob.mx/files/files/marcoJuridico/86_manualProcDirRestYFtoFtal.pdf</w:t>
      </w:r>
    </w:p>
    <w:p>
      <w:pPr>
        <w:spacing w:after="160" w:line="276"/>
        <w:jc w:val="both"/>
      </w:pPr>
      <w:r>
        <w:rPr>
          <w:color w:val="222222"/>
          <w:sz w:val="21"/>
          <w:szCs w:val="21"/>
        </w:rPr>
        <w:t xml:space="preserve">[23] Aprovechamiento forestal maderable — Probosque. http://probosque.edomex.gob.mx/aprovechamiento_forestal</w:t>
      </w:r>
    </w:p>
    <w:p>
      <w:pPr>
        <w:spacing w:after="160" w:line="276"/>
        <w:jc w:val="both"/>
      </w:pPr>
      <w:r>
        <w:rPr>
          <w:color w:val="222222"/>
          <w:sz w:val="21"/>
          <w:szCs w:val="21"/>
        </w:rPr>
        <w:t xml:space="preserve">[24] Producción de planta forestal — Probosque. http://probosque.edomex.gob.mx/produccion_planta</w:t>
      </w:r>
    </w:p>
    <w:p>
      <w:pPr>
        <w:spacing w:after="160" w:line="276"/>
        <w:jc w:val="both"/>
      </w:pPr>
      <w:r>
        <w:rPr>
          <w:color w:val="222222"/>
          <w:sz w:val="21"/>
          <w:szCs w:val="21"/>
        </w:rPr>
        <w:t xml:space="preserve">[25] Biotecnología forestal — Probosque. http://probosque.edomex.gob.mx/biotecnia_forestal</w:t>
      </w:r>
    </w:p>
    <w:p>
      <w:pPr>
        <w:spacing w:after="160" w:line="276"/>
        <w:jc w:val="both"/>
      </w:pPr>
      <w:r>
        <w:rPr>
          <w:color w:val="222222"/>
          <w:sz w:val="21"/>
          <w:szCs w:val="21"/>
        </w:rPr>
        <w:t xml:space="preserve">[26] Especies de semilla para venta 2021 — Probosque. https://probosque.edomex.gob.mx/sites/probosque.edomex.gob.mx/files/files/ventaDeSemilla/ventaSemillasConos2021.pdf</w:t>
      </w:r>
    </w:p>
    <w:p>
      <w:pPr>
        <w:spacing w:after="160" w:line="276"/>
        <w:jc w:val="both"/>
      </w:pPr>
      <w:r>
        <w:rPr>
          <w:color w:val="222222"/>
          <w:sz w:val="21"/>
          <w:szCs w:val="21"/>
        </w:rPr>
        <w:t xml:space="preserve">[27] Costos de venta de semilla forestal 2025 — Probosque. http://probosque.edomex.gob.mx/sites/probosque.edomex.gob.mx/files/files/ventaDeSemilla/2025/costosVentaSemillaFtal2025.pdf</w:t>
      </w:r>
    </w:p>
    <w:p>
      <w:pPr>
        <w:spacing w:after="160" w:line="276"/>
        <w:jc w:val="both"/>
      </w:pPr>
      <w:r>
        <w:rPr>
          <w:color w:val="222222"/>
          <w:sz w:val="21"/>
          <w:szCs w:val="21"/>
        </w:rPr>
        <w:t xml:space="preserve">[30] Programa de Reforestación en Edoméx 2022 — Prensa OPPEEM. https://prensaoppeem.org/programa-de-reforestacion-en-edomex-2022/</w:t>
      </w:r>
    </w:p>
    <w:p>
      <w:pPr>
        <w:spacing w:after="160" w:line="276"/>
        <w:jc w:val="both"/>
      </w:pPr>
      <w:r>
        <w:rPr>
          <w:color w:val="222222"/>
          <w:sz w:val="21"/>
          <w:szCs w:val="21"/>
        </w:rPr>
        <w:t xml:space="preserve">[38] Convocatorias — Probosque, Gobierno del Estado de México. https://probosque.edomex.gob.mx/index.php/convocatorias</w:t>
      </w:r>
    </w:p>
    <w:p>
      <w:pPr>
        <w:spacing w:after="160" w:line="276"/>
        <w:jc w:val="both"/>
      </w:pPr>
      <w:r>
        <w:rPr>
          <w:color w:val="222222"/>
          <w:sz w:val="21"/>
          <w:szCs w:val="21"/>
        </w:rPr>
        <w:t xml:space="preserve">[39] Convocatoria para participar en los programas de PROBOSQUE, 27 de enero de 2026 — Gaceta del Gobierno del Estado de México. https://legislacion.edomex.gob.mx/sites/legislacion.edomex.gob.mx/files/files/pdf/gct/2026/enero/ene271/ene271c.pdf</w:t>
      </w:r>
    </w:p>
    <w:p>
      <w:pPr>
        <w:spacing w:after="160" w:line="276"/>
        <w:jc w:val="both"/>
      </w:pPr>
      <w:r>
        <w:rPr>
          <w:color w:val="222222"/>
          <w:sz w:val="21"/>
          <w:szCs w:val="21"/>
        </w:rPr>
        <w:t xml:space="preserve">[40] Van por más de 6 millones de árboles para reforestar zonas degradadas del Edomex — El Heraldo Estado de México. https://estadodemexico.heraldodemexico.com.mx/municipios/2026/7/8/van-por-mas-de-millones-de-arboles-para-reforestar-zonas-degradadas-del-edomex-11399.html</w:t>
      </w:r>
    </w:p>
    <w:p>
      <w:pPr>
        <w:spacing w:after="160" w:line="276"/>
        <w:jc w:val="both"/>
      </w:pPr>
      <w:r>
        <w:rPr>
          <w:color w:val="222222"/>
          <w:sz w:val="21"/>
          <w:szCs w:val="21"/>
        </w:rPr>
        <w:t xml:space="preserve">[41] Convocatorias — Probosque (listado completo por año). http://probosque.edomex.gob.mx/convocatorias</w:t>
      </w:r>
    </w:p>
    <w:p>
      <w:pPr>
        <w:spacing w:after="160" w:line="276"/>
        <w:jc w:val="both"/>
      </w:pPr>
      <w:r>
        <w:rPr>
          <w:color w:val="222222"/>
          <w:sz w:val="21"/>
          <w:szCs w:val="21"/>
        </w:rPr>
        <w:t xml:space="preserve">[42] Reglas de Operación del Programa Pago por Servicios Ambientales Hidrológicos del Estado de México — Transparencia Fiscal Edoméx. https://transparenciafiscal.edomex.gob.mx/sites/transparenciafiscal.edomex.gob.mx/files/files/informacion/ROPS/23-CAMPO-Pago-servicios-ambientales-hidrologicos.pdf</w:t>
      </w:r>
    </w:p>
    <w:p>
      <w:pPr>
        <w:spacing w:after="160" w:line="276"/>
        <w:jc w:val="both"/>
      </w:pPr>
      <w:r>
        <w:rPr>
          <w:color w:val="222222"/>
          <w:sz w:val="21"/>
          <w:szCs w:val="21"/>
        </w:rPr>
        <w:t xml:space="preserve">[43] Modificaciones a las Reglas de Operación del Programa PSAHEM, 29 de enero de 2025 — Gaceta del Gobierno del Estado de México. https://legislacion.edomex.gob.mx/sites/legislacion.edomex.gob.mx/files/files/pdf/gct/2025/enero/ene292/ene292d.pdf</w:t>
      </w:r>
    </w:p>
    <w:p>
      <w:pPr>
        <w:spacing w:after="160" w:line="276"/>
        <w:jc w:val="both"/>
      </w:pPr>
      <w:r>
        <w:rPr>
          <w:color w:val="222222"/>
          <w:sz w:val="21"/>
          <w:szCs w:val="21"/>
        </w:rPr>
        <w:t xml:space="preserve">[45][46] Manual General de Organización de PROBOSQUE — Gaceta del Gobierno del Estado de México / probosque.edomex.gob.mx. https://legislacion.edomex.gob.mx/sites/legislacion.edomex.gob.mx/files/files/pdf/gct/2025/diciembre/dic161/dic161d.pdf</w:t>
      </w:r>
    </w:p>
    <w:p>
      <w:pPr>
        <w:spacing w:after="160" w:line="276"/>
        <w:jc w:val="both"/>
      </w:pPr>
      <w:r>
        <w:rPr>
          <w:color w:val="222222"/>
          <w:sz w:val="21"/>
          <w:szCs w:val="21"/>
        </w:rPr>
        <w:t xml:space="preserve">[52] Convenio Específico para la asunción de funciones en materia forestal (SEMARNAT–Estado de México) — Diario Oficial de la Federación, 15 de mayo de 2018. https://dof.gob.mx/nota_detalle.php?codigo=5522568&amp;fecha=15/05/2018</w:t>
      </w:r>
    </w:p>
    <w:p>
      <w:pPr>
        <w:spacing w:after="160" w:line="276"/>
        <w:jc w:val="both"/>
      </w:pPr>
      <w:r>
        <w:rPr>
          <w:color w:val="222222"/>
          <w:sz w:val="21"/>
          <w:szCs w:val="21"/>
        </w:rPr>
        <w:t xml:space="preserve">[53] Convenio Específico para la asunción de funciones en materia de inspección y vigilancia forestal — Diario Oficial de la Federación, 20 de agosto de 2013. https://dof.gob.mx/nota_detalle.php?codigo=5310973&amp;fecha=20/08/2013</w:t>
      </w:r>
    </w:p>
    <w:p>
      <w:pPr>
        <w:spacing w:after="160" w:line="276"/>
        <w:jc w:val="both"/>
      </w:pPr>
      <w:r>
        <w:rPr>
          <w:color w:val="222222"/>
          <w:sz w:val="21"/>
          <w:szCs w:val="21"/>
        </w:rPr>
        <w:t xml:space="preserve">[59][61] Aprovechamiento forestal maderable — Probosque. https://probosquedesa.edomex.gob.mx/aprovechamiento_forestal</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PROBOSQUE — Informe institucional</w:t>
    </w:r>
    <w:r>
      <w:rPr>
        <w:color w:val="595959"/>
        <w:sz w:val="16"/>
        <w:szCs w:val="16"/>
      </w:rPr>
      <w:t xml:space="preserve">	Estado de México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2026-08-31T23:31:14.901Z</dcterms:created>
  <dcterms:modified xsi:type="dcterms:W3CDTF">2026-08-31T23:31:14.903Z</dcterms:modified>
</cp:coreProperties>
</file>

<file path=docProps/custom.xml><?xml version="1.0" encoding="utf-8"?>
<Properties xmlns="http://schemas.openxmlformats.org/officeDocument/2006/custom-properties" xmlns:vt="http://schemas.openxmlformats.org/officeDocument/2006/docPropsVTypes"/>
</file>