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2F5233"/>
          <w:sz w:val="40"/>
          <w:szCs w:val="40"/>
        </w:rPr>
        <w:t xml:space="preserve">Programas de Apoyo de PROBOSQUE</w:t>
      </w:r>
    </w:p>
    <w:p>
      <w:pPr>
        <w:spacing w:after="80"/>
        <w:jc w:val="center"/>
      </w:pPr>
      <w:r>
        <w:rPr>
          <w:rFonts w:ascii="Calibri" w:cs="Calibri" w:eastAsia="Calibri" w:hAnsi="Calibri"/>
          <w:b/>
          <w:bCs/>
          <w:color w:val="555555"/>
          <w:sz w:val="26"/>
          <w:szCs w:val="26"/>
        </w:rPr>
        <w:t xml:space="preserve">PSAHEM · Reforestando EDOMÉX · EDOMÉX Manejo Forestal Sustentable</w:t>
      </w:r>
    </w:p>
    <w:p>
      <w:pPr>
        <w:spacing w:after="400"/>
        <w:jc w:val="center"/>
      </w:pPr>
      <w:r>
        <w:rPr>
          <w:rFonts w:ascii="Calibri" w:cs="Calibri" w:eastAsia="Calibri" w:hAnsi="Calibri"/>
          <w:i/>
          <w:iCs/>
          <w:color w:val="777777"/>
          <w:sz w:val="20"/>
          <w:szCs w:val="20"/>
        </w:rPr>
        <w:t xml:space="preserve">Descripción de los programas y estructura orgánica responsable, con base en el Manual General de Organización de la Protectora de Bosques del Estado de México (Gaceta del Gobierno, 16 de diciembre de 2025)</w:t>
      </w:r>
    </w:p>
    <w:p>
      <w:pPr>
        <w:pStyle w:val="Heading1"/>
        <w:spacing w:after="160" w:before="320"/>
      </w:pPr>
      <w:r>
        <w:t xml:space="preserve">Introducción</w:t>
      </w:r>
    </w:p>
    <w:p>
      <w:pPr>
        <w:spacing w:after="180" w:line="276"/>
        <w:jc w:val="both"/>
      </w:pPr>
      <w:r>
        <w:rPr>
          <w:rFonts w:ascii="Calibri" w:cs="Calibri" w:eastAsia="Calibri" w:hAnsi="Calibri"/>
          <w:sz w:val="22"/>
          <w:szCs w:val="22"/>
        </w:rPr>
        <w:t xml:space="preserve">Este documento presenta una investigación documental sobre tres programas de apoyo operados por la Protectora de Bosques del Estado de México (PROBOSQUE), organismo público descentralizado sectorizado a la Secretaría del Campo del Gobierno del Estado de México: el Pago por Servicios Ambientales Hidrológicos del Estado de México (PSAHEM), el programa Reforestando EDOMÉX (antes Programa de Reforestación y Restauración Integral de Microcuencas, PRORRIM) y el programa EDOMÉX Manejo Forestal Sustentable (MFS). Para cada programa se describe su objetivo y mecánica de operación, y se identifica la unidad administrativa del organigrama de PROBOSQUE responsable de ejecutarlo, con base en el Manual General de Organización vigente.</w:t>
      </w:r>
      <w:r>
        <w:rPr>
          <w:rStyle w:val="FootnoteReference"/>
        </w:rPr>
        <w:footnoteReference w:id="1"/>
      </w:r>
    </w:p>
    <w:p>
      <w:pPr>
        <w:pStyle w:val="Heading1"/>
        <w:spacing w:after="160" w:before="320"/>
      </w:pPr>
      <w:r>
        <w:t xml:space="preserve">1. Pago por Servicios Ambientales Hidrológicos del Estado de México (PSAHEM)</w:t>
      </w:r>
    </w:p>
    <w:p>
      <w:pPr>
        <w:spacing w:after="180" w:line="276"/>
        <w:jc w:val="both"/>
      </w:pPr>
      <w:r>
        <w:rPr>
          <w:rFonts w:ascii="Calibri" w:cs="Calibri" w:eastAsia="Calibri" w:hAnsi="Calibri"/>
          <w:sz w:val="22"/>
          <w:szCs w:val="22"/>
        </w:rPr>
        <w:t xml:space="preserve">El PSAHEM tiene como propósito contribuir a la sostenibilidad de los bosques del Estado de México mediante la entrega de estímulos económicos y asesoría técnica forestal a las personas propietarias, poseedoras o representantes legales de terrenos forestales, en compensación por los servicios ambientales hidrológicos que dichos terrenos generan.</w:t>
      </w:r>
      <w:r>
        <w:rPr>
          <w:rStyle w:val="FootnoteReference"/>
        </w:rPr>
        <w:footnoteReference w:id="2"/>
      </w:r>
    </w:p>
    <w:p>
      <w:pPr>
        <w:spacing w:after="180" w:line="276"/>
        <w:jc w:val="both"/>
      </w:pPr>
      <w:r>
        <w:rPr>
          <w:rFonts w:ascii="Calibri" w:cs="Calibri" w:eastAsia="Calibri" w:hAnsi="Calibri"/>
          <w:sz w:val="22"/>
          <w:szCs w:val="22"/>
        </w:rPr>
        <w:t xml:space="preserve">El programa se financia a través del Fideicomiso para el Pago por Servicios Ambientales Hidrológicos del Estado de México (FIPASAHEM), constituido el 13 de agosto de 2007 con un capital semilla de 30 millones de pesos aportados por el Gobierno estatal. Los recursos provienen de una aportación de mejoras equivalente al 3.5% sobre los ingresos recaudados por el suministro de agua potable, conforme al Código Financiero del Estado de México y Municipios, además de un esquema de concurrencia con la Comisión Nacional Forestal (CONAFOR).</w:t>
      </w:r>
      <w:r>
        <w:rPr>
          <w:rStyle w:val="FootnoteReference"/>
        </w:rPr>
        <w:footnoteReference w:id="3"/>
      </w:r>
      <w:r>
        <w:rPr>
          <w:rStyle w:val="FootnoteReference"/>
        </w:rPr>
        <w:footnoteReference w:id="4"/>
      </w:r>
    </w:p>
    <w:p>
      <w:pPr>
        <w:spacing w:after="180" w:line="276"/>
        <w:jc w:val="both"/>
      </w:pPr>
      <w:r>
        <w:rPr>
          <w:rFonts w:ascii="Calibri" w:cs="Calibri" w:eastAsia="Calibri" w:hAnsi="Calibri"/>
          <w:sz w:val="22"/>
          <w:szCs w:val="22"/>
        </w:rPr>
        <w:t xml:space="preserve">La superficie factible de los predios solicitantes se determina mediante análisis cartográfico, visitas de verificación en campo y revisión de la documentación legal presentada.</w:t>
      </w:r>
      <w:r>
        <w:rPr>
          <w:rStyle w:val="FootnoteReference"/>
        </w:rPr>
        <w:footnoteReference w:id="5"/>
      </w:r>
    </w:p>
    <w:p>
      <w:pPr>
        <w:pStyle w:val="Heading2"/>
        <w:spacing w:after="120" w:before="240"/>
      </w:pPr>
      <w:r>
        <w:t xml:space="preserve">Unidad responsable</w:t>
      </w:r>
    </w:p>
    <w:p>
      <w:pPr>
        <w:spacing w:after="180" w:line="276"/>
        <w:jc w:val="both"/>
      </w:pPr>
      <w:r>
        <w:rPr>
          <w:rFonts w:ascii="Calibri" w:cs="Calibri" w:eastAsia="Calibri" w:hAnsi="Calibri"/>
          <w:sz w:val="22"/>
          <w:szCs w:val="22"/>
        </w:rPr>
        <w:t xml:space="preserve">La Subdirección de Servicios Ambientales y Manejo Integral Forestal, adscrita a la Dirección de Restauración y Fomento Forestal, es la unidad administrativa responsable del programa. Entre sus funciones establecidas en el Manual General de Organización destacan:</w:t>
      </w:r>
      <w:r>
        <w:rPr>
          <w:rStyle w:val="FootnoteReference"/>
        </w:rPr>
        <w:footnoteReference w:id="6"/>
      </w:r>
    </w:p>
    <w:p>
      <w:pPr>
        <w:pStyle w:val="ListParagraph"/>
        <w:numPr>
          <w:ilvl w:val="0"/>
          <w:numId w:val="1"/>
        </w:numPr>
        <w:spacing w:after="100" w:line="276"/>
      </w:pPr>
      <w:r>
        <w:rPr>
          <w:rFonts w:ascii="Calibri" w:cs="Calibri" w:eastAsia="Calibri" w:hAnsi="Calibri"/>
          <w:sz w:val="22"/>
          <w:szCs w:val="22"/>
        </w:rPr>
        <w:t xml:space="preserve">Remitir información al Comité Técnico del Fideicomiso FIPASAHEM y proponer acciones de mejora a su Reglamento Interno.</w:t>
      </w:r>
    </w:p>
    <w:p>
      <w:pPr>
        <w:pStyle w:val="ListParagraph"/>
        <w:numPr>
          <w:ilvl w:val="0"/>
          <w:numId w:val="1"/>
        </w:numPr>
        <w:spacing w:after="100" w:line="276"/>
      </w:pPr>
      <w:r>
        <w:rPr>
          <w:rFonts w:ascii="Calibri" w:cs="Calibri" w:eastAsia="Calibri" w:hAnsi="Calibri"/>
          <w:sz w:val="22"/>
          <w:szCs w:val="22"/>
        </w:rPr>
        <w:t xml:space="preserve">Fomentar y asesorar el Programa de Pago por Servicios Ambientales Hidrológicos del Estado de México.</w:t>
      </w:r>
    </w:p>
    <w:p>
      <w:pPr>
        <w:pStyle w:val="ListParagraph"/>
        <w:numPr>
          <w:ilvl w:val="0"/>
          <w:numId w:val="1"/>
        </w:numPr>
        <w:spacing w:after="100" w:line="276"/>
      </w:pPr>
      <w:r>
        <w:rPr>
          <w:rFonts w:ascii="Calibri" w:cs="Calibri" w:eastAsia="Calibri" w:hAnsi="Calibri"/>
          <w:sz w:val="22"/>
          <w:szCs w:val="22"/>
        </w:rPr>
        <w:t xml:space="preserve">Gestionar la elaboración de estudios y proyectos que contribuyan al manejo sostenible, valoración y gestión de los servicios ambientales de los ecosistemas forestales.</w:t>
      </w:r>
    </w:p>
    <w:p>
      <w:pPr>
        <w:pStyle w:val="ListParagraph"/>
        <w:numPr>
          <w:ilvl w:val="0"/>
          <w:numId w:val="1"/>
        </w:numPr>
        <w:spacing w:after="100" w:line="276"/>
      </w:pPr>
      <w:r>
        <w:rPr>
          <w:rFonts w:ascii="Calibri" w:cs="Calibri" w:eastAsia="Calibri" w:hAnsi="Calibri"/>
          <w:sz w:val="22"/>
          <w:szCs w:val="22"/>
        </w:rPr>
        <w:t xml:space="preserve">Asesorar a las personas propietarias y/o poseedoras de recursos forestales, y al personal técnico forestal, en materia de servicios ambientales de los ecosistemas.</w:t>
      </w:r>
    </w:p>
    <w:p>
      <w:pPr>
        <w:spacing w:after="180" w:line="276"/>
        <w:jc w:val="both"/>
      </w:pPr>
      <w:r>
        <w:rPr>
          <w:rFonts w:ascii="Calibri" w:cs="Calibri" w:eastAsia="Calibri" w:hAnsi="Calibri"/>
          <w:sz w:val="22"/>
          <w:szCs w:val="22"/>
        </w:rPr>
        <w:t xml:space="preserve">Como apoyo transversal participan la Unidad Jurídica, de Igualdad de Género y Erradicación de la Violencia, que emite dictámenes jurídicos y valida la documentación legal de los predios,</w:t>
      </w:r>
      <w:r>
        <w:rPr>
          <w:rStyle w:val="FootnoteReference"/>
        </w:rPr>
        <w:footnoteReference w:id="7"/>
      </w:r>
      <w:r>
        <w:rPr>
          <w:rFonts w:ascii="Calibri" w:cs="Calibri" w:eastAsia="Calibri" w:hAnsi="Calibri"/>
          <w:sz w:val="22"/>
          <w:szCs w:val="22"/>
        </w:rPr>
        <w:t xml:space="preserve"> y las nueve Delegaciones Regionales Forestales, que difunden, operan y dan seguimiento en campo al programa en su respectiva demarcación.</w:t>
      </w:r>
      <w:r>
        <w:rPr>
          <w:rStyle w:val="FootnoteReference"/>
        </w:rPr>
        <w:footnoteReference w:id="8"/>
      </w:r>
    </w:p>
    <w:p>
      <w:pPr>
        <w:pStyle w:val="Heading1"/>
        <w:spacing w:after="160" w:before="320"/>
      </w:pPr>
      <w:r>
        <w:t xml:space="preserve">2. Reforestando EDOMÉX (Restauración Hidrológico-Forestal)</w:t>
      </w:r>
    </w:p>
    <w:p>
      <w:pPr>
        <w:spacing w:after="180" w:line="276"/>
        <w:jc w:val="both"/>
      </w:pPr>
      <w:r>
        <w:rPr>
          <w:rFonts w:ascii="Calibri" w:cs="Calibri" w:eastAsia="Calibri" w:hAnsi="Calibri"/>
          <w:sz w:val="22"/>
          <w:szCs w:val="22"/>
        </w:rPr>
        <w:t xml:space="preserve">Reforestando EDOMÉX (antes Programa de Reforestación y Restauración Integral de Microcuencas, PRORRIM) tiene como propósito incrementar la cobertura forestal mexiquense mediante la plantación, mantenimiento y reposición de árboles en zonas degradadas, así como impulsar obras de conservación de suelos.</w:t>
      </w:r>
      <w:r>
        <w:rPr>
          <w:rStyle w:val="FootnoteReference"/>
        </w:rPr>
        <w:footnoteReference w:id="9"/>
      </w:r>
    </w:p>
    <w:p>
      <w:pPr>
        <w:spacing w:after="180" w:line="276"/>
        <w:jc w:val="both"/>
      </w:pPr>
      <w:r>
        <w:rPr>
          <w:rFonts w:ascii="Calibri" w:cs="Calibri" w:eastAsia="Calibri" w:hAnsi="Calibri"/>
          <w:sz w:val="22"/>
          <w:szCs w:val="22"/>
        </w:rPr>
        <w:t xml:space="preserve">En la vertiente de nuevas reforestaciones se otorga un estímulo económico por hectárea plantada en dos ministraciones (70% y 30%), más planta forestal y asistencia técnica sin costo. En la vertiente de mantenimiento de reforestaciones de los tres años anteriores, el estímulo se calcula según el porcentaje de sobrevivencia verificado por personal técnico de PROBOSQUE, e incluye actividades de replante obligatorio y actividades alternas como cajeteo, deshierbe, brechas cortafuego, fertilización, cercado, podas, riegos de auxilio y vigilancia.</w:t>
      </w:r>
      <w:r>
        <w:rPr>
          <w:rStyle w:val="FootnoteReference"/>
        </w:rPr>
        <w:footnoteReference w:id="10"/>
      </w:r>
    </w:p>
    <w:p>
      <w:pPr>
        <w:spacing w:after="180" w:line="276"/>
        <w:jc w:val="both"/>
      </w:pPr>
      <w:r>
        <w:rPr>
          <w:rFonts w:ascii="Calibri" w:cs="Calibri" w:eastAsia="Calibri" w:hAnsi="Calibri"/>
          <w:sz w:val="22"/>
          <w:szCs w:val="22"/>
        </w:rPr>
        <w:t xml:space="preserve">La construcción y/o mantenimiento de presas de gavión —obra de conservación de suelos y control de la erosión— la realiza el beneficiario, con asesoría y seguimiento técnico del personal de PROBOSQUE. El programa opera en los 125 municipios del Estado de México para reforestación y mantenimiento; las presas de gavión se destinan a los municipios de Calimaya, Tenango del Valle, Toluca y Zinacantepec.</w:t>
      </w:r>
      <w:r>
        <w:rPr>
          <w:rStyle w:val="FootnoteReference"/>
        </w:rPr>
        <w:footnoteReference w:id="11"/>
      </w:r>
      <w:r>
        <w:rPr>
          <w:rStyle w:val="FootnoteReference"/>
        </w:rPr>
        <w:footnoteReference w:id="12"/>
      </w:r>
    </w:p>
    <w:p>
      <w:pPr>
        <w:pStyle w:val="Heading2"/>
        <w:spacing w:after="120" w:before="240"/>
      </w:pPr>
      <w:r>
        <w:t xml:space="preserve">Unidades responsables</w:t>
      </w:r>
    </w:p>
    <w:p>
      <w:pPr>
        <w:spacing w:after="180" w:line="276"/>
        <w:jc w:val="both"/>
      </w:pPr>
      <w:r>
        <w:rPr>
          <w:rFonts w:ascii="Calibri" w:cs="Calibri" w:eastAsia="Calibri" w:hAnsi="Calibri"/>
          <w:sz w:val="22"/>
          <w:szCs w:val="22"/>
        </w:rPr>
        <w:t xml:space="preserve">El programa se distribuye entre dos subdirecciones de la Dirección de Restauración y Fomento Forestal:</w:t>
      </w:r>
    </w:p>
    <w:p>
      <w:pPr>
        <w:pStyle w:val="ListParagraph"/>
        <w:numPr>
          <w:ilvl w:val="0"/>
          <w:numId w:val="1"/>
        </w:numPr>
        <w:spacing w:after="100" w:line="276"/>
      </w:pPr>
      <w:r>
        <w:rPr>
          <w:rFonts w:ascii="Calibri" w:cs="Calibri" w:eastAsia="Calibri" w:hAnsi="Calibri"/>
          <w:sz w:val="22"/>
          <w:szCs w:val="22"/>
        </w:rPr>
        <w:t xml:space="preserve">Subdirección de Restauración y Producción de Planta: produce y mantiene la planta forestal en viveros, coordina la recolecta de germoplasma, programa los trabajos de reforestación y restauración forestal, identifica áreas forestales perturbadas que requieren atención y, en coordinación con las Delegaciones Regionales Forestales, atiende las solicitudes de restauración forestal social.</w:t>
      </w:r>
      <w:r>
        <w:rPr>
          <w:rStyle w:val="FootnoteReference"/>
        </w:rPr>
        <w:footnoteReference w:id="13"/>
      </w:r>
    </w:p>
    <w:p>
      <w:pPr>
        <w:pStyle w:val="ListParagraph"/>
        <w:numPr>
          <w:ilvl w:val="0"/>
          <w:numId w:val="1"/>
        </w:numPr>
        <w:spacing w:after="100" w:line="276"/>
      </w:pPr>
      <w:r>
        <w:rPr>
          <w:rFonts w:ascii="Calibri" w:cs="Calibri" w:eastAsia="Calibri" w:hAnsi="Calibri"/>
          <w:sz w:val="22"/>
          <w:szCs w:val="22"/>
        </w:rPr>
        <w:t xml:space="preserve">Subdirección de Conservación de Suelos Forestales: programa, coordina, asesora y opera los trabajos de acondicionamiento de suelos, incluida la construcción de presas de gavión y otras obras de conservación en zonas degradadas.</w:t>
      </w:r>
      <w:r>
        <w:rPr>
          <w:rStyle w:val="FootnoteReference"/>
        </w:rPr>
        <w:footnoteReference w:id="14"/>
      </w:r>
    </w:p>
    <w:p>
      <w:pPr>
        <w:spacing w:after="180" w:line="276"/>
        <w:jc w:val="both"/>
      </w:pPr>
      <w:r>
        <w:rPr>
          <w:rFonts w:ascii="Calibri" w:cs="Calibri" w:eastAsia="Calibri" w:hAnsi="Calibri"/>
          <w:sz w:val="22"/>
          <w:szCs w:val="22"/>
        </w:rPr>
        <w:t xml:space="preserve">La Subdirección de Apoyo a las Plantaciones Comerciales y Asistencia Técnica también participa en la vertiente de sistemas agrosilvopastoriles y asistencia técnica a productores forestales relacionada con este programa.</w:t>
      </w:r>
      <w:r>
        <w:rPr>
          <w:rStyle w:val="FootnoteReference"/>
        </w:rPr>
        <w:footnoteReference w:id="15"/>
      </w:r>
    </w:p>
    <w:p>
      <w:pPr>
        <w:pStyle w:val="Heading1"/>
        <w:spacing w:after="160" w:before="320"/>
      </w:pPr>
      <w:r>
        <w:t xml:space="preserve">3. EDOMÉX Manejo Forestal Sustentable (MFS)</w:t>
      </w:r>
    </w:p>
    <w:p>
      <w:pPr>
        <w:spacing w:after="180" w:line="276"/>
        <w:jc w:val="both"/>
      </w:pPr>
      <w:r>
        <w:rPr>
          <w:rFonts w:ascii="Calibri" w:cs="Calibri" w:eastAsia="Calibri" w:hAnsi="Calibri"/>
          <w:sz w:val="22"/>
          <w:szCs w:val="22"/>
        </w:rPr>
        <w:t xml:space="preserve">El programa EDOMÉX Manejo Forestal Sustentable tiene como propósito contribuir a gestionar sosteniblemente los recursos forestales, mediante un estímulo económico a Núcleos Agrarios y personas físicas y/o jurídico-colectivas propietarias o poseedoras de terrenos forestales. Otorga apoyo para el registro de plantaciones, la elaboración de Programas de Manejo Forestal Maderable y estudios técnicos para el aprovechamiento de recursos forestales no maderables.</w:t>
      </w:r>
      <w:r>
        <w:rPr>
          <w:rStyle w:val="FootnoteReference"/>
        </w:rPr>
        <w:footnoteReference w:id="16"/>
      </w:r>
      <w:r>
        <w:rPr>
          <w:rStyle w:val="FootnoteReference"/>
        </w:rPr>
        <w:footnoteReference w:id="17"/>
      </w:r>
    </w:p>
    <w:p>
      <w:pPr>
        <w:spacing w:after="180" w:line="276"/>
        <w:jc w:val="both"/>
      </w:pPr>
      <w:r>
        <w:rPr>
          <w:rFonts w:ascii="Calibri" w:cs="Calibri" w:eastAsia="Calibri" w:hAnsi="Calibri"/>
          <w:sz w:val="22"/>
          <w:szCs w:val="22"/>
        </w:rPr>
        <w:t xml:space="preserve">El programa consta de tres componentes: A) Estudios Técnicos Forestales (ETF); B) Registro de Plantaciones Forestales Comerciales (RPFC); y C) Certificación Internacional FSC. El trámite se realiza en la Ventanilla Única de Trámites Forestales, ubicada en la Dirección de Restauración y Fomento Forestal, que expide las autorizaciones de aprovechamiento forestal maderable a los predios que cumplen los requisitos establecidos en la Ley General de Desarrollo Forestal Sustentable, su Reglamento y la NOM-152-SEMARNAT-2006.</w:t>
      </w:r>
      <w:r>
        <w:rPr>
          <w:rStyle w:val="FootnoteReference"/>
        </w:rPr>
        <w:footnoteReference w:id="18"/>
      </w:r>
      <w:r>
        <w:rPr>
          <w:rStyle w:val="FootnoteReference"/>
        </w:rPr>
        <w:footnoteReference w:id="19"/>
      </w:r>
    </w:p>
    <w:p>
      <w:pPr>
        <w:pStyle w:val="Heading2"/>
        <w:spacing w:after="120" w:before="240"/>
      </w:pPr>
      <w:r>
        <w:t xml:space="preserve">Unidad responsable</w:t>
      </w:r>
    </w:p>
    <w:p>
      <w:pPr>
        <w:spacing w:after="180" w:line="276"/>
        <w:jc w:val="both"/>
      </w:pPr>
      <w:r>
        <w:rPr>
          <w:rFonts w:ascii="Calibri" w:cs="Calibri" w:eastAsia="Calibri" w:hAnsi="Calibri"/>
          <w:sz w:val="22"/>
          <w:szCs w:val="22"/>
        </w:rPr>
        <w:t xml:space="preserve">La Subdirección de Servicios Ambientales y Manejo Integral Forestal es también la responsable principal de este programa. Sus funciones específicas incluyen:</w:t>
      </w:r>
      <w:r>
        <w:rPr>
          <w:rStyle w:val="FootnoteReference"/>
        </w:rPr>
        <w:footnoteReference w:id="20"/>
      </w:r>
    </w:p>
    <w:p>
      <w:pPr>
        <w:pStyle w:val="ListParagraph"/>
        <w:numPr>
          <w:ilvl w:val="0"/>
          <w:numId w:val="1"/>
        </w:numPr>
        <w:spacing w:after="100" w:line="276"/>
      </w:pPr>
      <w:r>
        <w:rPr>
          <w:rFonts w:ascii="Calibri" w:cs="Calibri" w:eastAsia="Calibri" w:hAnsi="Calibri"/>
          <w:sz w:val="22"/>
          <w:szCs w:val="22"/>
        </w:rPr>
        <w:t xml:space="preserve">Cumplir y operar los trámites establecidos en los Convenios de Asunción de Funciones en materia forestal, celebrados con las autoridades federales, para la autorización de aprovechamiento forestal maderable y no maderable.</w:t>
      </w:r>
    </w:p>
    <w:p>
      <w:pPr>
        <w:pStyle w:val="ListParagraph"/>
        <w:numPr>
          <w:ilvl w:val="0"/>
          <w:numId w:val="1"/>
        </w:numPr>
        <w:spacing w:after="100" w:line="276"/>
      </w:pPr>
      <w:r>
        <w:rPr>
          <w:rFonts w:ascii="Calibri" w:cs="Calibri" w:eastAsia="Calibri" w:hAnsi="Calibri"/>
          <w:sz w:val="22"/>
          <w:szCs w:val="22"/>
        </w:rPr>
        <w:t xml:space="preserve">Emitir la liberación de área de corta, así como los saldos de anualidades vencidas y de motoaserrío.</w:t>
      </w:r>
    </w:p>
    <w:p>
      <w:pPr>
        <w:pStyle w:val="ListParagraph"/>
        <w:numPr>
          <w:ilvl w:val="0"/>
          <w:numId w:val="1"/>
        </w:numPr>
        <w:spacing w:after="100" w:line="276"/>
      </w:pPr>
      <w:r>
        <w:rPr>
          <w:rFonts w:ascii="Calibri" w:cs="Calibri" w:eastAsia="Calibri" w:hAnsi="Calibri"/>
          <w:sz w:val="22"/>
          <w:szCs w:val="22"/>
        </w:rPr>
        <w:t xml:space="preserve">Elaborar el Informe Mensual de Estadísticas de predios vigentes con autorización de aprovechamiento y el Informe Anual de la Producción Forestal de la Entidad.</w:t>
      </w:r>
    </w:p>
    <w:p>
      <w:pPr>
        <w:pStyle w:val="ListParagraph"/>
        <w:numPr>
          <w:ilvl w:val="0"/>
          <w:numId w:val="1"/>
        </w:numPr>
        <w:spacing w:after="100" w:line="276"/>
      </w:pPr>
      <w:r>
        <w:rPr>
          <w:rFonts w:ascii="Calibri" w:cs="Calibri" w:eastAsia="Calibri" w:hAnsi="Calibri"/>
          <w:sz w:val="22"/>
          <w:szCs w:val="22"/>
        </w:rPr>
        <w:t xml:space="preserve">Promover y apoyar en la elaboración de documentos requeridos por la Norma de Certificación Internacional FSC (manejo forestal, servicios ambientales y cadenas de custodia).</w:t>
      </w:r>
    </w:p>
    <w:p>
      <w:pPr>
        <w:pStyle w:val="ListParagraph"/>
        <w:numPr>
          <w:ilvl w:val="0"/>
          <w:numId w:val="1"/>
        </w:numPr>
        <w:spacing w:after="100" w:line="276"/>
      </w:pPr>
      <w:r>
        <w:rPr>
          <w:rFonts w:ascii="Calibri" w:cs="Calibri" w:eastAsia="Calibri" w:hAnsi="Calibri"/>
          <w:sz w:val="22"/>
          <w:szCs w:val="22"/>
        </w:rPr>
        <w:t xml:space="preserve">Asesorar técnicamente la ejecución de Programas de Manejo Forestal y avisos para el aprovechamiento de recursos forestales.</w:t>
      </w:r>
    </w:p>
    <w:p>
      <w:pPr>
        <w:spacing w:after="180" w:line="276"/>
        <w:jc w:val="both"/>
      </w:pPr>
      <w:r>
        <w:rPr>
          <w:rFonts w:ascii="Calibri" w:cs="Calibri" w:eastAsia="Calibri" w:hAnsi="Calibri"/>
          <w:sz w:val="22"/>
          <w:szCs w:val="22"/>
        </w:rPr>
        <w:t xml:space="preserve">La Subdirección de Apoyo a las Plantaciones Comerciales y Asistencia Técnica complementa el Componente B (Registro de Plantaciones Forestales Comerciales), dando asistencia técnica y apoyando a los productores en la elaboración de avisos y programas de manejo de sus plantaciones.</w:t>
      </w:r>
      <w:r>
        <w:rPr>
          <w:rStyle w:val="FootnoteReference"/>
        </w:rPr>
        <w:footnoteReference w:id="21"/>
      </w:r>
    </w:p>
    <w:p>
      <w:pPr>
        <w:pStyle w:val="Heading1"/>
        <w:spacing w:after="160" w:before="320"/>
      </w:pPr>
      <w:r>
        <w:t xml:space="preserve">4. Cuadro resumen: unidad responsable por programa</w:t>
      </w:r>
    </w:p>
    <w:p>
      <w:pPr>
        <w:spacing w:after="180" w:line="276"/>
        <w:jc w:val="both"/>
      </w:pPr>
      <w:r>
        <w:rPr>
          <w:rFonts w:ascii="Calibri" w:cs="Calibri" w:eastAsia="Calibri" w:hAnsi="Calibri"/>
          <w:sz w:val="22"/>
          <w:szCs w:val="22"/>
        </w:rPr>
        <w:t xml:space="preserve">La siguiente tabla sintetiza la unidad administrativa —conforme al organigrama vigente de PROBOSQUE, autorizado el 6 de junio de 2025 y publicado en el Manual General de Organización el 16 de diciembre de 2025— responsable de cada programa.</w:t>
      </w:r>
      <w:r>
        <w:rPr>
          <w:rStyle w:val="FootnoteReference"/>
        </w:rPr>
        <w:footnoteReference w:id="22"/>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720"/>
      </w:tblGrid>
      <w:tr>
        <w:tc>
          <w:tcPr>
            <w:tcW w:type="dxa" w:w="2600"/>
            <w:shd w:fill="2F5233" w:color="auto" w:val="clear"/>
            <w:tcMar>
              <w:top w:type="dxa" w:w="100"/>
              <w:left w:type="dxa" w:w="120"/>
              <w:bottom w:type="dxa" w:w="100"/>
              <w:right w:type="dxa" w:w="120"/>
            </w:tcMar>
          </w:tcPr>
          <w:p>
            <w:r>
              <w:rPr>
                <w:rFonts w:ascii="Calibri" w:cs="Calibri" w:eastAsia="Calibri" w:hAnsi="Calibri"/>
                <w:b/>
                <w:bCs/>
                <w:color w:val="FFFFFF"/>
                <w:sz w:val="20"/>
                <w:szCs w:val="20"/>
              </w:rPr>
              <w:t xml:space="preserve">Programa</w:t>
            </w:r>
          </w:p>
        </w:tc>
        <w:tc>
          <w:tcPr>
            <w:tcW w:type="dxa" w:w="3400"/>
            <w:shd w:fill="2F5233" w:color="auto" w:val="clear"/>
            <w:tcMar>
              <w:top w:type="dxa" w:w="100"/>
              <w:left w:type="dxa" w:w="120"/>
              <w:bottom w:type="dxa" w:w="100"/>
              <w:right w:type="dxa" w:w="120"/>
            </w:tcMar>
          </w:tcPr>
          <w:p>
            <w:r>
              <w:rPr>
                <w:rFonts w:ascii="Calibri" w:cs="Calibri" w:eastAsia="Calibri" w:hAnsi="Calibri"/>
                <w:b/>
                <w:bCs/>
                <w:color w:val="FFFFFF"/>
                <w:sz w:val="20"/>
                <w:szCs w:val="20"/>
              </w:rPr>
              <w:t xml:space="preserve">Unidad administrativa principal</w:t>
            </w:r>
          </w:p>
        </w:tc>
        <w:tc>
          <w:tcPr>
            <w:tcW w:type="dxa" w:w="3720"/>
            <w:shd w:fill="2F5233" w:color="auto" w:val="clear"/>
            <w:tcMar>
              <w:top w:type="dxa" w:w="100"/>
              <w:left w:type="dxa" w:w="120"/>
              <w:bottom w:type="dxa" w:w="100"/>
              <w:right w:type="dxa" w:w="120"/>
            </w:tcMar>
          </w:tcPr>
          <w:p>
            <w:r>
              <w:rPr>
                <w:rFonts w:ascii="Calibri" w:cs="Calibri" w:eastAsia="Calibri" w:hAnsi="Calibri"/>
                <w:b/>
                <w:bCs/>
                <w:color w:val="FFFFFF"/>
                <w:sz w:val="20"/>
                <w:szCs w:val="20"/>
              </w:rPr>
              <w:t xml:space="preserve">Tareas clave</w:t>
            </w:r>
          </w:p>
        </w:tc>
      </w:tr>
      <w:tr>
        <w:tc>
          <w:tcPr>
            <w:tcW w:type="dxa" w:w="2600"/>
            <w:tcMar>
              <w:top w:type="dxa" w:w="100"/>
              <w:left w:type="dxa" w:w="120"/>
              <w:bottom w:type="dxa" w:w="100"/>
              <w:right w:type="dxa" w:w="120"/>
            </w:tcMar>
          </w:tcPr>
          <w:p>
            <w:r>
              <w:rPr>
                <w:rFonts w:ascii="Calibri" w:cs="Calibri" w:eastAsia="Calibri" w:hAnsi="Calibri"/>
                <w:b w:val="false"/>
                <w:bCs w:val="false"/>
                <w:color w:val="000000"/>
                <w:sz w:val="20"/>
                <w:szCs w:val="20"/>
              </w:rPr>
              <w:t xml:space="preserve">PSAHEM</w:t>
            </w:r>
          </w:p>
        </w:tc>
        <w:tc>
          <w:tcPr>
            <w:tcW w:type="dxa" w:w="3400"/>
            <w:tcMar>
              <w:top w:type="dxa" w:w="100"/>
              <w:left w:type="dxa" w:w="120"/>
              <w:bottom w:type="dxa" w:w="100"/>
              <w:right w:type="dxa" w:w="120"/>
            </w:tcMar>
          </w:tcPr>
          <w:p>
            <w:r>
              <w:rPr>
                <w:rFonts w:ascii="Calibri" w:cs="Calibri" w:eastAsia="Calibri" w:hAnsi="Calibri"/>
                <w:b w:val="false"/>
                <w:bCs w:val="false"/>
                <w:color w:val="000000"/>
                <w:sz w:val="20"/>
                <w:szCs w:val="20"/>
              </w:rPr>
              <w:t xml:space="preserve">Subdirección de Servicios Ambientales y Manejo Integral Forestal</w:t>
            </w:r>
          </w:p>
        </w:tc>
        <w:tc>
          <w:tcPr>
            <w:tcW w:type="dxa" w:w="3720"/>
            <w:tcMar>
              <w:top w:type="dxa" w:w="100"/>
              <w:left w:type="dxa" w:w="120"/>
              <w:bottom w:type="dxa" w:w="100"/>
              <w:right w:type="dxa" w:w="120"/>
            </w:tcMar>
          </w:tcPr>
          <w:p>
            <w:r>
              <w:rPr>
                <w:rFonts w:ascii="Calibri" w:cs="Calibri" w:eastAsia="Calibri" w:hAnsi="Calibri"/>
                <w:b w:val="false"/>
                <w:bCs w:val="false"/>
                <w:color w:val="000000"/>
                <w:sz w:val="20"/>
                <w:szCs w:val="20"/>
              </w:rPr>
              <w:t xml:space="preserve">Seguimiento al Comité Técnico FIPASAHEM; asesoría a beneficiarios; estudios de valoración de servicios ambientales.</w:t>
            </w:r>
          </w:p>
        </w:tc>
      </w:tr>
      <w:tr>
        <w:tc>
          <w:tcPr>
            <w:tcW w:type="dxa" w:w="2600"/>
            <w:tcMar>
              <w:top w:type="dxa" w:w="100"/>
              <w:left w:type="dxa" w:w="120"/>
              <w:bottom w:type="dxa" w:w="100"/>
              <w:right w:type="dxa" w:w="120"/>
            </w:tcMar>
          </w:tcPr>
          <w:p>
            <w:r>
              <w:rPr>
                <w:rFonts w:ascii="Calibri" w:cs="Calibri" w:eastAsia="Calibri" w:hAnsi="Calibri"/>
                <w:b w:val="false"/>
                <w:bCs w:val="false"/>
                <w:color w:val="000000"/>
                <w:sz w:val="20"/>
                <w:szCs w:val="20"/>
              </w:rPr>
              <w:t xml:space="preserve">Reforestando EDOMÉX</w:t>
            </w:r>
          </w:p>
        </w:tc>
        <w:tc>
          <w:tcPr>
            <w:tcW w:type="dxa" w:w="3400"/>
            <w:tcMar>
              <w:top w:type="dxa" w:w="100"/>
              <w:left w:type="dxa" w:w="120"/>
              <w:bottom w:type="dxa" w:w="100"/>
              <w:right w:type="dxa" w:w="120"/>
            </w:tcMar>
          </w:tcPr>
          <w:p>
            <w:r>
              <w:rPr>
                <w:rFonts w:ascii="Calibri" w:cs="Calibri" w:eastAsia="Calibri" w:hAnsi="Calibri"/>
                <w:b w:val="false"/>
                <w:bCs w:val="false"/>
                <w:color w:val="000000"/>
                <w:sz w:val="20"/>
                <w:szCs w:val="20"/>
              </w:rPr>
              <w:t xml:space="preserve">Subdirección de Restauración y Producción de Planta / Subdirección de Conservación de Suelos Forestales</w:t>
            </w:r>
          </w:p>
        </w:tc>
        <w:tc>
          <w:tcPr>
            <w:tcW w:type="dxa" w:w="3720"/>
            <w:tcMar>
              <w:top w:type="dxa" w:w="100"/>
              <w:left w:type="dxa" w:w="120"/>
              <w:bottom w:type="dxa" w:w="100"/>
              <w:right w:type="dxa" w:w="120"/>
            </w:tcMar>
          </w:tcPr>
          <w:p>
            <w:r>
              <w:rPr>
                <w:rFonts w:ascii="Calibri" w:cs="Calibri" w:eastAsia="Calibri" w:hAnsi="Calibri"/>
                <w:b w:val="false"/>
                <w:bCs w:val="false"/>
                <w:color w:val="000000"/>
                <w:sz w:val="20"/>
                <w:szCs w:val="20"/>
              </w:rPr>
              <w:t xml:space="preserve">Producción y entrega de planta; reforestación y mantenimiento; obras de conservación de suelos (presas de gavión).</w:t>
            </w:r>
          </w:p>
        </w:tc>
      </w:tr>
      <w:tr>
        <w:tc>
          <w:tcPr>
            <w:tcW w:type="dxa" w:w="2600"/>
            <w:tcMar>
              <w:top w:type="dxa" w:w="100"/>
              <w:left w:type="dxa" w:w="120"/>
              <w:bottom w:type="dxa" w:w="100"/>
              <w:right w:type="dxa" w:w="120"/>
            </w:tcMar>
          </w:tcPr>
          <w:p>
            <w:r>
              <w:rPr>
                <w:rFonts w:ascii="Calibri" w:cs="Calibri" w:eastAsia="Calibri" w:hAnsi="Calibri"/>
                <w:b w:val="false"/>
                <w:bCs w:val="false"/>
                <w:color w:val="000000"/>
                <w:sz w:val="20"/>
                <w:szCs w:val="20"/>
              </w:rPr>
              <w:t xml:space="preserve">EDOMÉX Manejo Forestal Sustentable</w:t>
            </w:r>
          </w:p>
        </w:tc>
        <w:tc>
          <w:tcPr>
            <w:tcW w:type="dxa" w:w="3400"/>
            <w:tcMar>
              <w:top w:type="dxa" w:w="100"/>
              <w:left w:type="dxa" w:w="120"/>
              <w:bottom w:type="dxa" w:w="100"/>
              <w:right w:type="dxa" w:w="120"/>
            </w:tcMar>
          </w:tcPr>
          <w:p>
            <w:r>
              <w:rPr>
                <w:rFonts w:ascii="Calibri" w:cs="Calibri" w:eastAsia="Calibri" w:hAnsi="Calibri"/>
                <w:b w:val="false"/>
                <w:bCs w:val="false"/>
                <w:color w:val="000000"/>
                <w:sz w:val="20"/>
                <w:szCs w:val="20"/>
              </w:rPr>
              <w:t xml:space="preserve">Subdirección de Servicios Ambientales y Manejo Integral Forestal / Subdirección de Apoyo a las Plantaciones Comerciales y Asistencia Técnica</w:t>
            </w:r>
          </w:p>
        </w:tc>
        <w:tc>
          <w:tcPr>
            <w:tcW w:type="dxa" w:w="3720"/>
            <w:tcMar>
              <w:top w:type="dxa" w:w="100"/>
              <w:left w:type="dxa" w:w="120"/>
              <w:bottom w:type="dxa" w:w="100"/>
              <w:right w:type="dxa" w:w="120"/>
            </w:tcMar>
          </w:tcPr>
          <w:p>
            <w:r>
              <w:rPr>
                <w:rFonts w:ascii="Calibri" w:cs="Calibri" w:eastAsia="Calibri" w:hAnsi="Calibri"/>
                <w:b w:val="false"/>
                <w:bCs w:val="false"/>
                <w:color w:val="000000"/>
                <w:sz w:val="20"/>
                <w:szCs w:val="20"/>
              </w:rPr>
              <w:t xml:space="preserve">Autorización de aprovechamiento forestal; certificación FSC; registro de plantaciones comerciales; asesoría técnica.</w:t>
            </w:r>
          </w:p>
        </w:tc>
      </w:tr>
    </w:tbl>
    <w:p>
      <w:pPr>
        <w:spacing w:after="200"/>
      </w:pPr>
    </w:p>
    <w:p>
      <w:pPr>
        <w:spacing w:after="180" w:line="276"/>
        <w:jc w:val="both"/>
      </w:pPr>
      <w:r>
        <w:rPr>
          <w:rFonts w:ascii="Calibri" w:cs="Calibri" w:eastAsia="Calibri" w:hAnsi="Calibri"/>
          <w:sz w:val="22"/>
          <w:szCs w:val="22"/>
        </w:rPr>
        <w:t xml:space="preserve">Todas las unidades citadas dependen de la Dirección de Restauración y Fomento Forestal, cuyo objetivo institucional es “contribuir al desarrollo forestal sostenible [...] mediante la promoción e impulso de programas orientados a restaurar, proteger y conservar los ecosistemas forestales y fomentar su producción y productividad.”</w:t>
      </w:r>
      <w:r>
        <w:rPr>
          <w:rStyle w:val="FootnoteReference"/>
        </w:rPr>
        <w:footnoteReference w:id="23"/>
      </w:r>
      <w:r>
        <w:rPr>
          <w:rFonts w:ascii="Calibri" w:cs="Calibri" w:eastAsia="Calibri" w:hAnsi="Calibri"/>
          <w:sz w:val="22"/>
          <w:szCs w:val="22"/>
        </w:rPr>
        <w:t xml:space="preserve"> Adicionalmente, la Unidad de Vinculación Interinstitucional apoya la celebración de convenios con dependencias federales, estatales y municipales relacionados con estos tres programas,</w:t>
      </w:r>
      <w:r>
        <w:rPr>
          <w:rStyle w:val="FootnoteReference"/>
        </w:rPr>
        <w:footnoteReference w:id="24"/>
      </w:r>
      <w:r>
        <w:rPr>
          <w:rFonts w:ascii="Calibri" w:cs="Calibri" w:eastAsia="Calibri" w:hAnsi="Calibri"/>
          <w:sz w:val="22"/>
          <w:szCs w:val="22"/>
        </w:rPr>
        <w:t xml:space="preserve"> y las nueve Delegaciones Regionales Forestales ejecutan y dan seguimiento en campo a los tres programas dentro de su respectiva demarcación territorial.</w:t>
      </w:r>
      <w:r>
        <w:rPr>
          <w:rStyle w:val="FootnoteReference"/>
        </w:rPr>
        <w:footnoteReference w:id="25"/>
      </w:r>
    </w:p>
    <w:p>
      <w:pPr>
        <w:spacing w:after="180" w:line="276"/>
        <w:jc w:val="both"/>
      </w:pPr>
      <w:r>
        <w:rPr>
          <w:rFonts w:ascii="Calibri" w:cs="Calibri" w:eastAsia="Calibri" w:hAnsi="Calibri"/>
          <w:sz w:val="22"/>
          <w:szCs w:val="22"/>
        </w:rPr>
        <w:t xml:space="preserve">Cabe señalar que, hasta 2021, la función de servicios ambientales operaba a nivel de Departamento de Servicios Ambientales; en la reestructuración autorizada por la Oficialía Mayor el 6 de junio de 2025 fue elevada a Subdirección de Servicios Ambientales y Manejo Integral Forestal, ampliando su nivel jerárquico y sus atribuciones sobre los programas PSAHEM y Manejo Forestal Sustentable.</w:t>
      </w:r>
      <w:r>
        <w:rPr>
          <w:rStyle w:val="FootnoteReference"/>
        </w:rPr>
        <w:footnoteReference w:id="26"/>
      </w:r>
    </w:p>
    <w:p>
      <w:pPr>
        <w:pStyle w:val="Heading1"/>
        <w:spacing w:after="160" w:before="320"/>
      </w:pPr>
      <w:r>
        <w:t xml:space="preserve">Referencias</w:t>
      </w:r>
    </w:p>
    <w:p>
      <w:pPr>
        <w:spacing w:after="140"/>
        <w:ind w:left="360" w:hanging="360"/>
      </w:pPr>
      <w:r>
        <w:rPr>
          <w:rFonts w:ascii="Calibri" w:cs="Calibri" w:eastAsia="Calibri" w:hAnsi="Calibri"/>
          <w:sz w:val="20"/>
          <w:szCs w:val="20"/>
        </w:rPr>
        <w:t xml:space="preserve">Código Financiero del Estado de México y Municipios, artículos 216-I y 216-J.</w:t>
      </w:r>
    </w:p>
    <w:p>
      <w:pPr>
        <w:spacing w:after="140"/>
        <w:ind w:left="360" w:hanging="360"/>
      </w:pPr>
      <w:r>
        <w:rPr>
          <w:rFonts w:ascii="Calibri" w:cs="Calibri" w:eastAsia="Calibri" w:hAnsi="Calibri"/>
          <w:sz w:val="20"/>
          <w:szCs w:val="20"/>
        </w:rPr>
        <w:t xml:space="preserve">Gobierno del Estado de México, Secretaría del Campo. Manual General de Organización de la Protectora de Bosques del Estado de México. Periódico Oficial “Gaceta del Gobierno”, Tomo CCXX, No. 112, Sección Primera, 16 de diciembre de 2025, pp. 18–55.</w:t>
      </w:r>
    </w:p>
    <w:p>
      <w:pPr>
        <w:spacing w:after="140"/>
        <w:ind w:left="360" w:hanging="360"/>
      </w:pPr>
      <w:r>
        <w:rPr>
          <w:rFonts w:ascii="Calibri" w:cs="Calibri" w:eastAsia="Calibri" w:hAnsi="Calibri"/>
          <w:sz w:val="20"/>
          <w:szCs w:val="20"/>
        </w:rPr>
        <w:t xml:space="preserve">PROBOSQUE. Aprovechamiento forestal maderable. Disponible en: http://probosque.edomex.gob.mx/aprovechamiento_forestal</w:t>
      </w:r>
    </w:p>
    <w:p>
      <w:pPr>
        <w:spacing w:after="140"/>
        <w:ind w:left="360" w:hanging="360"/>
      </w:pPr>
      <w:r>
        <w:rPr>
          <w:rFonts w:ascii="Calibri" w:cs="Calibri" w:eastAsia="Calibri" w:hAnsi="Calibri"/>
          <w:sz w:val="20"/>
          <w:szCs w:val="20"/>
        </w:rPr>
        <w:t xml:space="preserve">PROBOSQUE. Convocatorias. Disponible en: https://probosque.edomex.gob.mx/convocatorias</w:t>
      </w:r>
    </w:p>
    <w:p>
      <w:pPr>
        <w:spacing w:after="140"/>
        <w:ind w:left="360" w:hanging="360"/>
      </w:pPr>
      <w:r>
        <w:rPr>
          <w:rFonts w:ascii="Calibri" w:cs="Calibri" w:eastAsia="Calibri" w:hAnsi="Calibri"/>
          <w:sz w:val="20"/>
          <w:szCs w:val="20"/>
        </w:rPr>
        <w:t xml:space="preserve">PROBOSQUE. Reforestando EDOMÉX. Disponible en: http://probosque.edomex.gob.mx/reforestando_edomex</w:t>
      </w:r>
    </w:p>
    <w:p>
      <w:pPr>
        <w:spacing w:after="140"/>
        <w:ind w:left="360" w:hanging="360"/>
      </w:pPr>
      <w:r>
        <w:rPr>
          <w:rFonts w:ascii="Calibri" w:cs="Calibri" w:eastAsia="Calibri" w:hAnsi="Calibri"/>
          <w:sz w:val="20"/>
          <w:szCs w:val="20"/>
        </w:rPr>
        <w:t xml:space="preserve">PROBOSQUE. Servicios Ambientales Hidrológicos (PSAHEM). Disponible en: https://probosque.edomex.gob.mx/fipasahem</w:t>
      </w:r>
    </w:p>
    <w:p>
      <w:pPr>
        <w:spacing w:after="140"/>
        <w:ind w:left="360" w:hanging="360"/>
      </w:pPr>
      <w:r>
        <w:rPr>
          <w:rFonts w:ascii="Calibri" w:cs="Calibri" w:eastAsia="Calibri" w:hAnsi="Calibri"/>
          <w:sz w:val="20"/>
          <w:szCs w:val="20"/>
        </w:rPr>
        <w:t xml:space="preserve">PROBOSQUE. Reglas de Operación de los Programas de Reforestación y Restauración Integral de Microcuencas (PRORRIM) y Plantaciones Forestales Comerciales – Reconversión Productiva, 2018. Disponible en: https://probosque.edomex.gob.mx/sites/probosque.edomex.gob.mx/files/files/reglasOperacionPRORRIM2018.PDF</w:t>
      </w:r>
    </w:p>
    <w:p>
      <w:pPr>
        <w:spacing w:after="140"/>
        <w:ind w:left="360" w:hanging="360"/>
      </w:pPr>
      <w:r>
        <w:rPr>
          <w:rFonts w:ascii="Calibri" w:cs="Calibri" w:eastAsia="Calibri" w:hAnsi="Calibri"/>
          <w:sz w:val="20"/>
          <w:szCs w:val="20"/>
        </w:rPr>
        <w:t xml:space="preserve">Secretaría del Campo, Gobierno del Estado de México. Emite GEM Reglas de Operación de los Programas de PROBOSQUE del Ejercicio Fiscal 2021. Disponible en: https://secampo.edomex.gob.mx/eventos-comunicados/emite-gem-reglas-operacion-programas-probosque-del-ejercicio-fiscal-202</w:t>
      </w:r>
    </w:p>
    <w:p>
      <w:pPr>
        <w:spacing w:after="140"/>
        <w:ind w:left="360" w:hanging="360"/>
      </w:pPr>
      <w:r>
        <w:rPr>
          <w:rFonts w:ascii="Calibri" w:cs="Calibri" w:eastAsia="Calibri" w:hAnsi="Calibri"/>
          <w:sz w:val="20"/>
          <w:szCs w:val="20"/>
        </w:rPr>
        <w:t xml:space="preserve">Transparencia Fiscal del Estado de México. Reglas de Operación del Programa Pago por Servicios Ambientales Hidrológicos del Estado de México, Convocatoria 2023. Disponible en: https://transparenciafiscal.edomex.gob.mx/sites/transparenciafiscal.edomex.gob.mx/files/files/informacion/ROPS/23-CAMPO-Pago-servicios-ambientales-hidrologicos.pdf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alibri" w:cs="Calibri" w:eastAsia="Calibri" w:hAnsi="Calibri"/>
          <w:sz w:val="18"/>
          <w:szCs w:val="18"/>
        </w:rPr>
        <w:t xml:space="preserve">Gobierno del Estado de México, Secretaría del Campo, “Manual General de Organización de la Protectora de Bosques del Estado de México”, Periódico Oficial “Gaceta del Gobierno”, Tomo CCXX, No. 112, 16 de diciembre de 2025, Sección Primera, pp. 18–55.</w:t>
      </w:r>
    </w:p>
  </w:footnote>
  <w:footnote w:id="2">
    <w:p>
      <w:r>
        <w:rPr>
          <w:rStyle w:val="FootnoteReference"/>
        </w:rPr>
        <w:footnoteRef/>
      </w:r>
      <w:r>
        <w:rPr>
          <w:rFonts w:ascii="Calibri" w:cs="Calibri" w:eastAsia="Calibri" w:hAnsi="Calibri"/>
          <w:sz w:val="18"/>
          <w:szCs w:val="18"/>
        </w:rPr>
        <w:t xml:space="preserve">Reglas de Operación del Programa Pago por Servicios Ambientales Hidrológicos del Estado de México (PSAHEM), Convocatoria 2023, Secretaría del Campo / PROBOSQUE.</w:t>
      </w:r>
    </w:p>
  </w:footnote>
  <w:footnote w:id="3">
    <w:p>
      <w:r>
        <w:rPr>
          <w:rStyle w:val="FootnoteReference"/>
        </w:rPr>
        <w:footnoteRef/>
      </w:r>
      <w:r>
        <w:rPr>
          <w:rFonts w:ascii="Calibri" w:cs="Calibri" w:eastAsia="Calibri" w:hAnsi="Calibri"/>
          <w:sz w:val="18"/>
          <w:szCs w:val="18"/>
        </w:rPr>
        <w:t xml:space="preserve">PROBOSQUE, “Servicios Ambientales Hidrológicos (PSAHEM)”, probosque.edomex.gob.mx/fipasahem.</w:t>
      </w:r>
    </w:p>
  </w:footnote>
  <w:footnote w:id="4">
    <w:p>
      <w:r>
        <w:rPr>
          <w:rStyle w:val="FootnoteReference"/>
        </w:rPr>
        <w:footnoteRef/>
      </w:r>
      <w:r>
        <w:rPr>
          <w:rFonts w:ascii="Calibri" w:cs="Calibri" w:eastAsia="Calibri" w:hAnsi="Calibri"/>
          <w:sz w:val="18"/>
          <w:szCs w:val="18"/>
        </w:rPr>
        <w:t xml:space="preserve">Código Financiero del Estado de México y Municipios, artículos 216-I y 216-J.</w:t>
      </w:r>
    </w:p>
  </w:footnote>
  <w:footnote w:id="5">
    <w:p>
      <w:r>
        <w:rPr>
          <w:rStyle w:val="FootnoteReference"/>
        </w:rPr>
        <w:footnoteRef/>
      </w:r>
      <w:r>
        <w:rPr>
          <w:rFonts w:ascii="Calibri" w:cs="Calibri" w:eastAsia="Calibri" w:hAnsi="Calibri"/>
          <w:sz w:val="18"/>
          <w:szCs w:val="18"/>
        </w:rPr>
        <w:t xml:space="preserve">Reglas de Operación del Programa Pago por Servicios Ambientales Hidrológicos del Estado de México (PSAHEM), Convocatoria 2023, Secretaría del Campo / PROBOSQUE.</w:t>
      </w:r>
    </w:p>
  </w:footnote>
  <w:footnote w:id="6">
    <w:p>
      <w:r>
        <w:rPr>
          <w:rStyle w:val="FootnoteReference"/>
        </w:rPr>
        <w:footnoteRef/>
      </w:r>
      <w:r>
        <w:rPr>
          <w:rFonts w:ascii="Calibri" w:cs="Calibri" w:eastAsia="Calibri" w:hAnsi="Calibri"/>
          <w:sz w:val="18"/>
          <w:szCs w:val="18"/>
        </w:rPr>
        <w:t xml:space="preserve">Manual General de Organización de PROBOSQUE, “Subdirección de Servicios Ambientales y Manejo Integral Forestal”, funciones 1–25, pp. 45–46.</w:t>
      </w:r>
    </w:p>
  </w:footnote>
  <w:footnote w:id="7">
    <w:p>
      <w:r>
        <w:rPr>
          <w:rStyle w:val="FootnoteReference"/>
        </w:rPr>
        <w:footnoteRef/>
      </w:r>
      <w:r>
        <w:rPr>
          <w:rFonts w:ascii="Calibri" w:cs="Calibri" w:eastAsia="Calibri" w:hAnsi="Calibri"/>
          <w:sz w:val="18"/>
          <w:szCs w:val="18"/>
        </w:rPr>
        <w:t xml:space="preserve">Manual General de Organización de PROBOSQUE, “Unidad Jurídica, de Igualdad de Género y Erradicación de la Violencia”, funciones 1–26, pp. 32–33.</w:t>
      </w:r>
    </w:p>
  </w:footnote>
  <w:footnote w:id="8">
    <w:p>
      <w:r>
        <w:rPr>
          <w:rStyle w:val="FootnoteReference"/>
        </w:rPr>
        <w:footnoteRef/>
      </w:r>
      <w:r>
        <w:rPr>
          <w:rFonts w:ascii="Calibri" w:cs="Calibri" w:eastAsia="Calibri" w:hAnsi="Calibri"/>
          <w:sz w:val="18"/>
          <w:szCs w:val="18"/>
        </w:rPr>
        <w:t xml:space="preserve">Manual General de Organización de PROBOSQUE, “Coordinación de Delegaciones Regionales” y “Delegaciones Regionales Forestales”, funciones 1–19, pp. 52–53.</w:t>
      </w:r>
    </w:p>
  </w:footnote>
  <w:footnote w:id="9">
    <w:p>
      <w:r>
        <w:rPr>
          <w:rStyle w:val="FootnoteReference"/>
        </w:rPr>
        <w:footnoteRef/>
      </w:r>
      <w:r>
        <w:rPr>
          <w:rFonts w:ascii="Calibri" w:cs="Calibri" w:eastAsia="Calibri" w:hAnsi="Calibri"/>
          <w:sz w:val="18"/>
          <w:szCs w:val="18"/>
        </w:rPr>
        <w:t xml:space="preserve">PROBOSQUE, “Reforestando EDOMÉX”, probosque.edomex.gob.mx/reforestando_edomex.</w:t>
      </w:r>
    </w:p>
  </w:footnote>
  <w:footnote w:id="10">
    <w:p>
      <w:r>
        <w:rPr>
          <w:rStyle w:val="FootnoteReference"/>
        </w:rPr>
        <w:footnoteRef/>
      </w:r>
      <w:r>
        <w:rPr>
          <w:rFonts w:ascii="Calibri" w:cs="Calibri" w:eastAsia="Calibri" w:hAnsi="Calibri"/>
          <w:sz w:val="18"/>
          <w:szCs w:val="18"/>
        </w:rPr>
        <w:t xml:space="preserve">PROBOSQUE, “Reforestando EDOMÉX”, probosque.edomex.gob.mx/reforestando_edomex.</w:t>
      </w:r>
    </w:p>
  </w:footnote>
  <w:footnote w:id="11">
    <w:p>
      <w:r>
        <w:rPr>
          <w:rStyle w:val="FootnoteReference"/>
        </w:rPr>
        <w:footnoteRef/>
      </w:r>
      <w:r>
        <w:rPr>
          <w:rFonts w:ascii="Calibri" w:cs="Calibri" w:eastAsia="Calibri" w:hAnsi="Calibri"/>
          <w:sz w:val="18"/>
          <w:szCs w:val="18"/>
        </w:rPr>
        <w:t xml:space="preserve">PROBOSQUE, “Reforestando EDOMÉX”, probosque.edomex.gob.mx/reforestando_edomex.</w:t>
      </w:r>
    </w:p>
  </w:footnote>
  <w:footnote w:id="12">
    <w:p>
      <w:r>
        <w:rPr>
          <w:rStyle w:val="FootnoteReference"/>
        </w:rPr>
        <w:footnoteRef/>
      </w:r>
      <w:r>
        <w:rPr>
          <w:rFonts w:ascii="Calibri" w:cs="Calibri" w:eastAsia="Calibri" w:hAnsi="Calibri"/>
          <w:sz w:val="18"/>
          <w:szCs w:val="18"/>
        </w:rPr>
        <w:t xml:space="preserve">Reglas de Operación de los Programas de Reforestación y Restauración Integral de Microcuencas (PRORRIM) y Plantaciones Forestales Comerciales – Reconversión Productiva, 2018, PROBOSQUE.</w:t>
      </w:r>
    </w:p>
  </w:footnote>
  <w:footnote w:id="13">
    <w:p>
      <w:r>
        <w:rPr>
          <w:rStyle w:val="FootnoteReference"/>
        </w:rPr>
        <w:footnoteRef/>
      </w:r>
      <w:r>
        <w:rPr>
          <w:rFonts w:ascii="Calibri" w:cs="Calibri" w:eastAsia="Calibri" w:hAnsi="Calibri"/>
          <w:sz w:val="18"/>
          <w:szCs w:val="18"/>
        </w:rPr>
        <w:t xml:space="preserve">Manual General de Organización de PROBOSQUE, “Subdirección de Restauración y Producción de Planta”, funciones 1–19, pp. 42–43.</w:t>
      </w:r>
    </w:p>
  </w:footnote>
  <w:footnote w:id="14">
    <w:p>
      <w:r>
        <w:rPr>
          <w:rStyle w:val="FootnoteReference"/>
        </w:rPr>
        <w:footnoteRef/>
      </w:r>
      <w:r>
        <w:rPr>
          <w:rFonts w:ascii="Calibri" w:cs="Calibri" w:eastAsia="Calibri" w:hAnsi="Calibri"/>
          <w:sz w:val="18"/>
          <w:szCs w:val="18"/>
        </w:rPr>
        <w:t xml:space="preserve">Manual General de Organización de PROBOSQUE, “Subdirección de Conservación de Suelos Forestales”, funciones 1–13, pp. 46–47.</w:t>
      </w:r>
    </w:p>
  </w:footnote>
  <w:footnote w:id="15">
    <w:p>
      <w:r>
        <w:rPr>
          <w:rStyle w:val="FootnoteReference"/>
        </w:rPr>
        <w:footnoteRef/>
      </w:r>
      <w:r>
        <w:rPr>
          <w:rFonts w:ascii="Calibri" w:cs="Calibri" w:eastAsia="Calibri" w:hAnsi="Calibri"/>
          <w:sz w:val="18"/>
          <w:szCs w:val="18"/>
        </w:rPr>
        <w:t xml:space="preserve">Manual General de Organización de PROBOSQUE, “Subdirección de Apoyo a las Plantaciones Comerciales y Asistencia Técnica”, funciones 1–36, pp. 43–45.</w:t>
      </w:r>
    </w:p>
  </w:footnote>
  <w:footnote w:id="16">
    <w:p>
      <w:r>
        <w:rPr>
          <w:rStyle w:val="FootnoteReference"/>
        </w:rPr>
        <w:footnoteRef/>
      </w:r>
      <w:r>
        <w:rPr>
          <w:rFonts w:ascii="Calibri" w:cs="Calibri" w:eastAsia="Calibri" w:hAnsi="Calibri"/>
          <w:sz w:val="18"/>
          <w:szCs w:val="18"/>
        </w:rPr>
        <w:t xml:space="preserve">Secretaría del Campo, “Emite GEM Reglas de Operación de los Programas de PROBOSQUE del Ejercicio Fiscal 2021”, secampo.edomex.gob.mx.</w:t>
      </w:r>
    </w:p>
  </w:footnote>
  <w:footnote w:id="17">
    <w:p>
      <w:r>
        <w:rPr>
          <w:rStyle w:val="FootnoteReference"/>
        </w:rPr>
        <w:footnoteRef/>
      </w:r>
      <w:r>
        <w:rPr>
          <w:rFonts w:ascii="Calibri" w:cs="Calibri" w:eastAsia="Calibri" w:hAnsi="Calibri"/>
          <w:sz w:val="18"/>
          <w:szCs w:val="18"/>
        </w:rPr>
        <w:t xml:space="preserve">PROBOSQUE, “Aprovechamiento forestal maderable”, probosque.edomex.gob.mx/aprovechamiento_forestal.</w:t>
      </w:r>
    </w:p>
  </w:footnote>
  <w:footnote w:id="18">
    <w:p>
      <w:r>
        <w:rPr>
          <w:rStyle w:val="FootnoteReference"/>
        </w:rPr>
        <w:footnoteRef/>
      </w:r>
      <w:r>
        <w:rPr>
          <w:rFonts w:ascii="Calibri" w:cs="Calibri" w:eastAsia="Calibri" w:hAnsi="Calibri"/>
          <w:sz w:val="18"/>
          <w:szCs w:val="18"/>
        </w:rPr>
        <w:t xml:space="preserve">PROBOSQUE, “Aprovechamiento forestal maderable”, probosque.edomex.gob.mx/aprovechamiento_forestal.</w:t>
      </w:r>
    </w:p>
  </w:footnote>
  <w:footnote w:id="19">
    <w:p>
      <w:r>
        <w:rPr>
          <w:rStyle w:val="FootnoteReference"/>
        </w:rPr>
        <w:footnoteRef/>
      </w:r>
      <w:r>
        <w:rPr>
          <w:rFonts w:ascii="Calibri" w:cs="Calibri" w:eastAsia="Calibri" w:hAnsi="Calibri"/>
          <w:sz w:val="18"/>
          <w:szCs w:val="18"/>
        </w:rPr>
        <w:t xml:space="preserve">Convocatoria 2023 para participar en los Programas de PROBOSQUE (PSAHEM, Reforestando EDOMÉX, EDOMÉX PROCARBONO, Plantaciones Forestales Comerciales y EDOMÉX Manejo Forestal Sustentable), probosque.edomex.gob.mx/convocatorias.</w:t>
      </w:r>
    </w:p>
  </w:footnote>
  <w:footnote w:id="20">
    <w:p>
      <w:r>
        <w:rPr>
          <w:rStyle w:val="FootnoteReference"/>
        </w:rPr>
        <w:footnoteRef/>
      </w:r>
      <w:r>
        <w:rPr>
          <w:rFonts w:ascii="Calibri" w:cs="Calibri" w:eastAsia="Calibri" w:hAnsi="Calibri"/>
          <w:sz w:val="18"/>
          <w:szCs w:val="18"/>
        </w:rPr>
        <w:t xml:space="preserve">Manual General de Organización de PROBOSQUE, “Subdirección de Servicios Ambientales y Manejo Integral Forestal”, funciones 1–25, pp. 45–46.</w:t>
      </w:r>
    </w:p>
  </w:footnote>
  <w:footnote w:id="21">
    <w:p>
      <w:r>
        <w:rPr>
          <w:rStyle w:val="FootnoteReference"/>
        </w:rPr>
        <w:footnoteRef/>
      </w:r>
      <w:r>
        <w:rPr>
          <w:rFonts w:ascii="Calibri" w:cs="Calibri" w:eastAsia="Calibri" w:hAnsi="Calibri"/>
          <w:sz w:val="18"/>
          <w:szCs w:val="18"/>
        </w:rPr>
        <w:t xml:space="preserve">Manual General de Organización de PROBOSQUE, “Subdirección de Apoyo a las Plantaciones Comerciales y Asistencia Técnica”, funciones 1–36, pp. 43–45.</w:t>
      </w:r>
    </w:p>
  </w:footnote>
  <w:footnote w:id="22">
    <w:p>
      <w:r>
        <w:rPr>
          <w:rStyle w:val="FootnoteReference"/>
        </w:rPr>
        <w:footnoteRef/>
      </w:r>
      <w:r>
        <w:rPr>
          <w:rFonts w:ascii="Calibri" w:cs="Calibri" w:eastAsia="Calibri" w:hAnsi="Calibri"/>
          <w:sz w:val="18"/>
          <w:szCs w:val="18"/>
        </w:rPr>
        <w:t xml:space="preserve">Manual General de Organización de PROBOSQUE, “V. Codificación Estructural” y “VI. Organigrama”, pp. 42–43.</w:t>
      </w:r>
    </w:p>
  </w:footnote>
  <w:footnote w:id="23">
    <w:p>
      <w:r>
        <w:rPr>
          <w:rStyle w:val="FootnoteReference"/>
        </w:rPr>
        <w:footnoteRef/>
      </w:r>
      <w:r>
        <w:rPr>
          <w:rFonts w:ascii="Calibri" w:cs="Calibri" w:eastAsia="Calibri" w:hAnsi="Calibri"/>
          <w:sz w:val="18"/>
          <w:szCs w:val="18"/>
        </w:rPr>
        <w:t xml:space="preserve">Manual General de Organización de PROBOSQUE, “Dirección de Restauración y Fomento Forestal”, funciones 1–19, p. 42.</w:t>
      </w:r>
    </w:p>
  </w:footnote>
  <w:footnote w:id="24">
    <w:p>
      <w:r>
        <w:rPr>
          <w:rStyle w:val="FootnoteReference"/>
        </w:rPr>
        <w:footnoteRef/>
      </w:r>
      <w:r>
        <w:rPr>
          <w:rFonts w:ascii="Calibri" w:cs="Calibri" w:eastAsia="Calibri" w:hAnsi="Calibri"/>
          <w:sz w:val="18"/>
          <w:szCs w:val="18"/>
        </w:rPr>
        <w:t xml:space="preserve">Manual General de Organización de PROBOSQUE, “Unidad de Vinculación Interinstitucional”, funciones 1–14, pp. 37–38.</w:t>
      </w:r>
    </w:p>
  </w:footnote>
  <w:footnote w:id="25">
    <w:p>
      <w:r>
        <w:rPr>
          <w:rStyle w:val="FootnoteReference"/>
        </w:rPr>
        <w:footnoteRef/>
      </w:r>
      <w:r>
        <w:rPr>
          <w:rFonts w:ascii="Calibri" w:cs="Calibri" w:eastAsia="Calibri" w:hAnsi="Calibri"/>
          <w:sz w:val="18"/>
          <w:szCs w:val="18"/>
        </w:rPr>
        <w:t xml:space="preserve">Manual General de Organización de PROBOSQUE, “Coordinación de Delegaciones Regionales” y “Delegaciones Regionales Forestales”, funciones 1–19, pp. 52–53.</w:t>
      </w:r>
    </w:p>
  </w:footnote>
  <w:footnote w:id="26">
    <w:p>
      <w:r>
        <w:rPr>
          <w:rStyle w:val="FootnoteReference"/>
        </w:rPr>
        <w:footnoteRef/>
      </w:r>
      <w:r>
        <w:rPr>
          <w:rFonts w:ascii="Calibri" w:cs="Calibri" w:eastAsia="Calibri" w:hAnsi="Calibri"/>
          <w:sz w:val="18"/>
          <w:szCs w:val="18"/>
        </w:rPr>
        <w:t xml:space="preserve">Manual General de Organización de PROBOSQUE, “I. Antecedentes”, párrafo sobre la reestructuración del 6 de junio de 2025 autorizada por la Oficialía Mayor, p. 21.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2026-09-07T04:14:34.573Z</dcterms:created>
  <dcterms:modified xsi:type="dcterms:W3CDTF">2026-09-07T04:14:34.573Z</dcterms:modified>
</cp:coreProperties>
</file>

<file path=docProps/custom.xml><?xml version="1.0" encoding="utf-8"?>
<Properties xmlns="http://schemas.openxmlformats.org/officeDocument/2006/custom-properties" xmlns:vt="http://schemas.openxmlformats.org/officeDocument/2006/docPropsVTypes"/>
</file>