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2E75B6"/>
          <w:sz w:val="56"/>
          <w:szCs w:val="56"/>
        </w:rPr>
        <w:t xml:space="preserve">RightAid</w:t>
      </w:r>
    </w:p>
    <w:p>
      <w:pPr>
        <w:spacing w:after="160"/>
        <w:jc w:val="center"/>
      </w:pPr>
      <w:r>
        <w:rPr>
          <w:rFonts w:ascii="Arial" w:cs="Arial" w:eastAsia="Arial" w:hAnsi="Arial"/>
          <w:color w:val="595959"/>
          <w:sz w:val="32"/>
          <w:szCs w:val="32"/>
        </w:rPr>
        <w:t xml:space="preserve">ML-PMT Refresher Platform</w:t>
      </w:r>
    </w:p>
    <w:p>
      <w:pPr>
        <w:spacing w:after="160"/>
        <w:jc w:val="center"/>
      </w:pPr>
      <w:r>
        <w:rPr>
          <w:rFonts w:ascii="Arial" w:cs="Arial" w:eastAsia="Arial" w:hAnsi="Arial"/>
          <w:color w:val="595959"/>
          <w:sz w:val="26"/>
          <w:szCs w:val="26"/>
        </w:rPr>
        <w:t xml:space="preserve">Dataset, Notebook &amp; Feature Engineering Documentation</w:t>
      </w:r>
    </w:p>
    <w:p>
      <w:pPr>
        <w:spacing w:after="160"/>
        <w:jc w:val="center"/>
      </w:pPr>
      <w:r>
        <w:rPr>
          <w:rFonts w:ascii="Arial" w:cs="Arial" w:eastAsia="Arial" w:hAnsi="Arial"/>
          <w:color w:val="7F7F7F"/>
          <w:sz w:val="22"/>
          <w:szCs w:val="22"/>
        </w:rPr>
        <w:t xml:space="preserve">Dicoding x Microsoft Elevate Datathon 2025  |  Ekonomi Digital &amp; Inklusi Keuangan</w:t>
      </w:r>
    </w:p>
    <w:p>
      <w:pPr>
        <w:spacing w:after="2880"/>
        <w:jc w:val="center"/>
      </w:pPr>
      <w:r>
        <w:rPr>
          <w:rFonts w:ascii="Arial" w:cs="Arial" w:eastAsia="Arial" w:hAnsi="Arial"/>
          <w:color w:val="7F7F7F"/>
          <w:sz w:val="22"/>
          <w:szCs w:val="22"/>
        </w:rPr>
        <w:t xml:space="preserve">Jeremy Sean Sitranata  |  Stevan Pohan  |  Takeshi Henderson Herman</w:t>
      </w:r>
    </w:p>
    <w:p>
      <w:pPr>
        <w:pBdr>
          <w:bottom w:val="single" w:color="CCCCCC" w:sz="4" w:space="1"/>
        </w:pBdr>
        <w:spacing w:after="160" w:before="160"/>
      </w:pPr>
    </w:p>
    <w:p>
      <w:pPr>
        <w:pStyle w:val="Heading1"/>
        <w:spacing w:after="200" w:before="360"/>
      </w:pPr>
      <w:r>
        <w:rPr>
          <w:rFonts w:ascii="Arial" w:cs="Arial" w:eastAsia="Arial" w:hAnsi="Arial"/>
          <w:b/>
          <w:bCs/>
          <w:sz w:val="32"/>
          <w:szCs w:val="32"/>
        </w:rPr>
        <w:t xml:space="preserve">1. Overview</w:t>
      </w:r>
    </w:p>
    <w:p>
      <w:pPr>
        <w:spacing w:after="120"/>
      </w:pPr>
      <w:r>
        <w:rPr>
          <w:rFonts w:ascii="Arial" w:cs="Arial" w:eastAsia="Arial" w:hAnsi="Arial"/>
          <w:sz w:val="22"/>
          <w:szCs w:val="22"/>
        </w:rPr>
        <w:t xml:space="preserve">RightAid adalah platform analitik berbasis web yang membantu analis kebijakan mendeteksi ketidaktepatan sasaran (mis-targeting) pada program perlindungan sosial Indonesia. Platform ini menggunakan pendekatan ML-PMT Refresher: membandingkan prediksi model Machine Learning terhadap sistem Proxy Means Testing (PMT) konvensional untuk mengidentifikasi rumah tangga yang salah diklasifikasikan.</w:t>
      </w:r>
    </w:p>
    <w:p>
      <w:pPr>
        <w:spacing w:after="120"/>
      </w:pPr>
      <w:r>
        <w:rPr>
          <w:rFonts w:ascii="Arial" w:cs="Arial" w:eastAsia="Arial" w:hAnsi="Arial"/>
          <w:sz w:val="22"/>
          <w:szCs w:val="22"/>
        </w:rPr>
        <w:t xml:space="preserve">Dokumen ini menjelaskan secara rinci:</w:t>
      </w:r>
    </w:p>
    <w:p>
      <w:pPr>
        <w:pStyle w:val="ListParagraph"/>
        <w:numPr>
          <w:ilvl w:val="0"/>
          <w:numId w:val="2"/>
        </w:numPr>
        <w:spacing w:after="80"/>
      </w:pPr>
      <w:r>
        <w:rPr>
          <w:rFonts w:ascii="Arial" w:cs="Arial" w:eastAsia="Arial" w:hAnsi="Arial"/>
          <w:sz w:val="22"/>
          <w:szCs w:val="22"/>
        </w:rPr>
        <w:t xml:space="preserve">Sumber dan struktur dataset sintetis yang digunakan</w:t>
      </w:r>
    </w:p>
    <w:p>
      <w:pPr>
        <w:pStyle w:val="ListParagraph"/>
        <w:numPr>
          <w:ilvl w:val="0"/>
          <w:numId w:val="2"/>
        </w:numPr>
        <w:spacing w:after="80"/>
      </w:pPr>
      <w:r>
        <w:rPr>
          <w:rFonts w:ascii="Arial" w:cs="Arial" w:eastAsia="Arial" w:hAnsi="Arial"/>
          <w:sz w:val="22"/>
          <w:szCs w:val="22"/>
        </w:rPr>
        <w:t xml:space="preserve">Variabel mentah (25 variabel) dan asal-usulnya</w:t>
      </w:r>
    </w:p>
    <w:p>
      <w:pPr>
        <w:pStyle w:val="ListParagraph"/>
        <w:numPr>
          <w:ilvl w:val="0"/>
          <w:numId w:val="2"/>
        </w:numPr>
        <w:spacing w:after="80"/>
      </w:pPr>
      <w:r>
        <w:rPr>
          <w:rFonts w:ascii="Arial" w:cs="Arial" w:eastAsia="Arial" w:hAnsi="Arial"/>
          <w:sz w:val="22"/>
          <w:szCs w:val="22"/>
        </w:rPr>
        <w:t xml:space="preserve">Proses EDA berbasis hipotesis (framework PPDAC)</w:t>
      </w:r>
    </w:p>
    <w:p>
      <w:pPr>
        <w:pStyle w:val="ListParagraph"/>
        <w:numPr>
          <w:ilvl w:val="0"/>
          <w:numId w:val="2"/>
        </w:numPr>
        <w:spacing w:after="80"/>
      </w:pPr>
      <w:r>
        <w:rPr>
          <w:rFonts w:ascii="Arial" w:cs="Arial" w:eastAsia="Arial" w:hAnsi="Arial"/>
          <w:sz w:val="22"/>
          <w:szCs w:val="22"/>
        </w:rPr>
        <w:t xml:space="preserve">Fitur yang direkayasa (16 fitur) beserta justifikasi ilmiahnya</w:t>
      </w:r>
    </w:p>
    <w:p>
      <w:pPr>
        <w:pStyle w:val="ListParagraph"/>
        <w:numPr>
          <w:ilvl w:val="0"/>
          <w:numId w:val="2"/>
        </w:numPr>
        <w:spacing w:after="80"/>
      </w:pPr>
      <w:r>
        <w:rPr>
          <w:rFonts w:ascii="Arial" w:cs="Arial" w:eastAsia="Arial" w:hAnsi="Arial"/>
          <w:sz w:val="22"/>
          <w:szCs w:val="22"/>
        </w:rPr>
        <w:t xml:space="preserve">Feature set final untuk modeling (Setup A)</w:t>
      </w:r>
    </w:p>
    <w:p>
      <w:pPr>
        <w:pBdr>
          <w:bottom w:val="single" w:color="CCCCCC" w:sz="4" w:space="1"/>
        </w:pBdr>
        <w:spacing w:after="160" w:before="160"/>
      </w:pPr>
    </w:p>
    <w:p>
      <w:pPr>
        <w:pStyle w:val="Heading1"/>
        <w:spacing w:after="200" w:before="360"/>
      </w:pPr>
      <w:r>
        <w:rPr>
          <w:rFonts w:ascii="Arial" w:cs="Arial" w:eastAsia="Arial" w:hAnsi="Arial"/>
          <w:b/>
          <w:bCs/>
          <w:sz w:val="32"/>
          <w:szCs w:val="32"/>
        </w:rPr>
        <w:t xml:space="preserve">2. Dataset</w:t>
      </w:r>
    </w:p>
    <w:p>
      <w:pPr>
        <w:pStyle w:val="Heading2"/>
        <w:spacing w:after="160" w:before="280"/>
      </w:pPr>
      <w:r>
        <w:rPr>
          <w:rFonts w:ascii="Arial" w:cs="Arial" w:eastAsia="Arial" w:hAnsi="Arial"/>
          <w:b/>
          <w:bCs/>
          <w:sz w:val="26"/>
          <w:szCs w:val="26"/>
        </w:rPr>
        <w:t xml:space="preserve">2.1 Pendekatan Data Sintetis</w:t>
      </w:r>
    </w:p>
    <w:p>
      <w:pPr>
        <w:spacing w:after="120"/>
      </w:pPr>
      <w:r>
        <w:rPr>
          <w:rFonts w:ascii="Arial" w:cs="Arial" w:eastAsia="Arial" w:hAnsi="Arial"/>
          <w:sz w:val="22"/>
          <w:szCs w:val="22"/>
        </w:rPr>
        <w:t xml:space="preserve">RightAid menggunakan data sintetis karena microdata individu penerima bantuan sosial (DTKS/SIKS-NG) dilindungi regulasi dan tidak tersedia secara publik. Pendekatan ini sesuai dengan metodologi yang digunakan World Bank dan UNDP untuk analisis kebijakan sosial.</w:t>
      </w:r>
    </w:p>
    <w:p>
      <w:pPr>
        <w:spacing w:after="120"/>
      </w:pPr>
      <w:r>
        <w:rPr>
          <w:rFonts w:ascii="Arial" w:cs="Arial" w:eastAsia="Arial" w:hAnsi="Arial"/>
          <w:sz w:val="22"/>
          <w:szCs w:val="22"/>
        </w:rPr>
        <w:t xml:space="preserve">Data sintetis dikalibrasi dari dua sumber publik yang terverifikasi:</w:t>
      </w:r>
    </w:p>
    <w:p>
      <w:pPr>
        <w:spacing w:after="120"/>
      </w:pP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1500"/>
        <w:gridCol w:w="14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Sumber</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 yang Diambil</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Coverage</w:t>
            </w:r>
          </w:p>
        </w:tc>
        <w:tc>
          <w:tcPr>
            <w:tcW w:type="dxa" w:w="1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Akses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DHS Indonesia 2017 (IDHS-VII)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Distribusi kondisi perumahan (lantai, dinding, atap), kepemilikan aset, urban/rural split, household size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 provinsi asli</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IPUMS DHS (akademik)</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Susenas 2025 BPS (PDF Tabel II &amp; V)</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Mean pengeluaran per kapita per provinsi (urban/rural terpisah), pangsa pengeluaran pangan (food share)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38 provinsi</w:t>
            </w:r>
          </w:p>
        </w:tc>
        <w:tc>
          <w:tcPr>
            <w:tcW w:type="dxa" w:w="1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Publik, download BPS</w:t>
            </w:r>
          </w:p>
        </w:tc>
      </w:tr>
    </w:tbl>
    <w:p>
      <w:pPr>
        <w:spacing w:after="160"/>
      </w:pPr>
    </w:p>
    <w:p>
      <w:pPr>
        <w:pStyle w:val="Heading2"/>
        <w:spacing w:after="160" w:before="280"/>
      </w:pPr>
      <w:r>
        <w:rPr>
          <w:rFonts w:ascii="Arial" w:cs="Arial" w:eastAsia="Arial" w:hAnsi="Arial"/>
          <w:b/>
          <w:bCs/>
          <w:sz w:val="26"/>
          <w:szCs w:val="26"/>
        </w:rPr>
        <w:t xml:space="preserve">2.2 Spesifikasi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Nilai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records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1.140.000 baris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Provinsi</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38 provinsi (34 asli + 4 Papua pemekaran)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Skenario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normal, phk, bencana</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Records per provinsi per skenario</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format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Parquet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Ukuran file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~30 MB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 seed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 (reproducible)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Kalibrasi pengeluaran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Error &lt; 0.6% vs target Susenas 2025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Kalibrasi urban share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&lt; 2pp vs DHS 2017</w:t>
            </w:r>
          </w:p>
        </w:tc>
      </w:tr>
    </w:tbl>
    <w:p>
      <w:pPr>
        <w:spacing w:after="160"/>
      </w:pPr>
    </w:p>
    <w:p>
      <w:pPr>
        <w:pStyle w:val="Heading2"/>
        <w:spacing w:after="160" w:before="280"/>
      </w:pPr>
      <w:r>
        <w:rPr>
          <w:rFonts w:ascii="Arial" w:cs="Arial" w:eastAsia="Arial" w:hAnsi="Arial"/>
          <w:b/>
          <w:bCs/>
          <w:sz w:val="26"/>
          <w:szCs w:val="26"/>
        </w:rPr>
        <w:t xml:space="preserve">2.3 Tiga Skenario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200"/>
        <w:gridCol w:w="49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Skenario</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Deskripsi</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Anomaly Rate</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Logika Injeksi</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normal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Baseline tanpa injeksi anomali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murni sesuai distribusi kalibrasi</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phk</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Simulasi PHK massal sektor manufaktur</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 (500 dari 10.000)</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Target: pekerja formal sektor manufaktur. Pengeluaran turun 40-70%, status pekerjaan -&gt; tidak bekerja. Aset fisik (motor, mobil, lantai) TIDAK berubah. Ini menciptakan asset-income mismatch yang menjadi blind spot PMT.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bencana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Simulasi pasca bencana alam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(1.000 dari 10.000)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rumah tangga acak. Kondisi fisik memburuk (lantai, air, toilet turun drastis). Pengeluaran turun 30-50%. PMT score dihitung SEBELUM injeksi (simulasi data DTKS yang belum ter-update).</w:t>
            </w:r>
          </w:p>
        </w:tc>
      </w:tr>
    </w:tbl>
    <w:p>
      <w:pPr>
        <w:spacing w:after="160"/>
      </w:pPr>
    </w:p>
    <w:p>
      <w:pPr>
        <w:pBdr>
          <w:bottom w:val="single" w:color="CCCCCC" w:sz="4" w:space="1"/>
        </w:pBdr>
        <w:spacing w:after="160" w:before="160"/>
      </w:pPr>
    </w:p>
    <w:p>
      <w:pPr>
        <w:pStyle w:val="Heading1"/>
        <w:spacing w:after="200" w:before="360"/>
      </w:pPr>
      <w:r>
        <w:rPr>
          <w:rFonts w:ascii="Arial" w:cs="Arial" w:eastAsia="Arial" w:hAnsi="Arial"/>
          <w:b/>
          <w:bCs/>
          <w:sz w:val="32"/>
          <w:szCs w:val="32"/>
        </w:rPr>
        <w:t xml:space="preserve">3. Variabel Mentah (25 Variabel)</w:t>
      </w:r>
    </w:p>
    <w:p>
      <w:pPr>
        <w:spacing w:after="120"/>
      </w:pPr>
      <w:r>
        <w:rPr>
          <w:rFonts w:ascii="Arial" w:cs="Arial" w:eastAsia="Arial" w:hAnsi="Arial"/>
          <w:sz w:val="22"/>
          <w:szCs w:val="22"/>
        </w:rPr>
        <w:t xml:space="preserve">Dataset mengandung 25 variabel kelayakan yang diadaptasi dari kuesioner Regsosek dan DTKS, identik dengan standar data pemerintah untuk memastikan plug-and-play compatibility.</w:t>
      </w:r>
    </w:p>
    <w:p>
      <w:pPr>
        <w:pStyle w:val="Heading2"/>
        <w:spacing w:after="160" w:before="280"/>
      </w:pPr>
      <w:r>
        <w:rPr>
          <w:rFonts w:ascii="Arial" w:cs="Arial" w:eastAsia="Arial" w:hAnsi="Arial"/>
          <w:b/>
          <w:bCs/>
          <w:sz w:val="26"/>
          <w:szCs w:val="26"/>
        </w:rPr>
        <w:t xml:space="preserve">3.1 Variabel Identitas &amp;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3500"/>
        <w:gridCol w:w="28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Variabel</w:t>
            </w:r>
          </w:p>
        </w:tc>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Tipe</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Deskripsi</w:t>
            </w:r>
          </w:p>
        </w:tc>
        <w:tc>
          <w:tcPr>
            <w:tcW w:type="dxa" w:w="2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Sumber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record_id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unik 8 karakter per record (UUID)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province</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str</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Nama provinsi</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Config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urban_rural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 urban, 2 = rural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DHS 2017 urban_pct_dhs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scenario</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str</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normal / phk / bencana</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Generator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anomaly_pct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Persentase injeksi anomali pada batch ini</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Generator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dataset_id</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str</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ID batch generate (12 karakter)</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Generator</w:t>
            </w:r>
          </w:p>
        </w:tc>
      </w:tr>
    </w:tbl>
    <w:p>
      <w:pPr>
        <w:spacing w:after="160"/>
      </w:pPr>
    </w:p>
    <w:p>
      <w:pPr>
        <w:pStyle w:val="Heading2"/>
        <w:spacing w:after="160" w:before="280"/>
      </w:pPr>
      <w:r>
        <w:rPr>
          <w:rFonts w:ascii="Arial" w:cs="Arial" w:eastAsia="Arial" w:hAnsi="Arial"/>
          <w:b/>
          <w:bCs/>
          <w:sz w:val="26"/>
          <w:szCs w:val="26"/>
        </w:rPr>
        <w:t xml:space="preserve">3.2 Variabel Demografi (4 variabel)</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100"/>
        <w:gridCol w:w="800"/>
        <w:gridCol w:w="1800"/>
        <w:gridCol w:w="3000"/>
        <w:gridCol w:w="2660"/>
      </w:tblGrid>
      <w:tr>
        <w:trPr>
          <w:tblHeader/>
        </w:trPr>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Variabel</w:t>
            </w:r>
          </w:p>
        </w:tc>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Tipe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Range/Kategori</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Deskripsi</w:t>
            </w:r>
          </w:p>
        </w:tc>
        <w:tc>
          <w:tcPr>
            <w:tcW w:type="dxa" w:w="2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Sumber Distribusi</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jml_anggota_keluarga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1 - 12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Jumlah anggota keluarga. Di-generate dari distribusi Poisson(lambda = hh_size_mean - 1) + 1, truncated di [1,12].</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DHS 2017 hh_size_mean per provinsi</w:t>
            </w:r>
          </w:p>
        </w:tc>
      </w:tr>
      <w:tr>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usia_kepala_keluarga</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18 - 90</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Usia kepala keluarga. Di-generate dari Normal(mean=45, std=12), truncated di [18,90].</w:t>
            </w:r>
          </w:p>
        </w:tc>
        <w:tc>
          <w:tcPr>
            <w:tcW w:type="dxa" w:w="2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Asumsi nasional</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gender_kepala_keluarga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1=Laki-laki, 2=Perempuan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Gender kepala keluarga. 89% laki-laki sesuai rata-rata nasional Susenas.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Susenas nasional</w:t>
            </w:r>
          </w:p>
        </w:tc>
      </w:tr>
      <w:tr>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dependency_ratio</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float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0.0 - 3.0</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Rasio anggota tidak produktif vs produktif. Di-generate dari Normal(0.8, 0.4), truncated di [0,3].</w:t>
            </w:r>
          </w:p>
        </w:tc>
        <w:tc>
          <w:tcPr>
            <w:tcW w:type="dxa" w:w="2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Asumsi nasional</w:t>
            </w:r>
          </w:p>
        </w:tc>
      </w:tr>
    </w:tbl>
    <w:p>
      <w:pPr>
        <w:spacing w:after="160"/>
      </w:pPr>
    </w:p>
    <w:p>
      <w:pPr>
        <w:pStyle w:val="Heading2"/>
        <w:spacing w:after="160" w:before="280"/>
      </w:pPr>
      <w:r>
        <w:rPr>
          <w:rFonts w:ascii="Arial" w:cs="Arial" w:eastAsia="Arial" w:hAnsi="Arial"/>
          <w:b/>
          <w:bCs/>
          <w:sz w:val="26"/>
          <w:szCs w:val="26"/>
        </w:rPr>
        <w:t xml:space="preserve">3.3 Variabel Kondisi Fisik Bangunan (5 variabel)</w:t>
      </w:r>
    </w:p>
    <w:p>
      <w:pPr>
        <w:spacing w:after="120"/>
      </w:pPr>
      <w:r>
        <w:rPr>
          <w:rFonts w:ascii="Arial" w:cs="Arial" w:eastAsia="Arial" w:hAnsi="Arial"/>
          <w:sz w:val="22"/>
          <w:szCs w:val="22"/>
        </w:rPr>
        <w:t xml:space="preserve">Ini adalah variabel utama PMT konvensional (bobot terbesar dalam Permensos No. 5 Tahun 2019).</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100"/>
        <w:gridCol w:w="800"/>
        <w:gridCol w:w="2200"/>
        <w:gridCol w:w="2500"/>
        <w:gridCol w:w="2760"/>
      </w:tblGrid>
      <w:tr>
        <w:trPr>
          <w:tblHeader/>
        </w:trPr>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Variabel</w:t>
            </w:r>
          </w:p>
        </w:tc>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Tipe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Kode Utama</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Deskripsi</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Sumber Distribusi</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status_kepemilikan_rumah</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1=Milik sendiri, 2=Kontrak/Sewa, 3=Bebas Sewa, 4=Dinas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 kepemilikan rumah. 80% milik sendiri sesuai rata-rata nasional.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Asumsi nasional</w:t>
            </w:r>
          </w:p>
        </w:tc>
      </w:tr>
      <w:tr>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luas_lantai_per_kapita</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float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2 - 80 m2/orang</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Luas lantai per kapita dalam m2. LogNormal: urban mean exp(2.3), rural exp(2.1).</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Asumsi berbasis Susenas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jenis_lantai</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11=Tanah, 21=Kayu, 32=Semen, 33=Keramik, 35=Granit (kode DHS)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Jenis material lantai. Kode DHS IDHR71 variable hv213. Merupakan proxy kemiskinan terkuat di PMT lama.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DHS 2017 floor_material_dist per provinsi</w:t>
            </w:r>
          </w:p>
        </w:tc>
      </w:tr>
      <w:tr>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jenis_dinding</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12=Bambu, 23=Plywood, 31=Bata tanpa plester, 34=Tembok plester (kode DHS)</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Jenis material dinding. Kode DHS IDHR71 variable hv214.</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DHS 2017 wall_material_dist per provinsi</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jenis_atap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12=Ijuk, 31=Seng, 32=Asbes, 33=Genteng (kode DHS)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Jenis material atap. Distribusi nasional dari DHS: 49.1% seng, 36.2% genteng.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DHS 2017 distribusi nasional</w:t>
            </w:r>
          </w:p>
        </w:tc>
      </w:tr>
    </w:tbl>
    <w:p>
      <w:pPr>
        <w:spacing w:after="160"/>
      </w:pPr>
    </w:p>
    <w:p>
      <w:pPr>
        <w:pStyle w:val="Heading2"/>
        <w:spacing w:after="160" w:before="280"/>
      </w:pPr>
      <w:r>
        <w:rPr>
          <w:rFonts w:ascii="Arial" w:cs="Arial" w:eastAsia="Arial" w:hAnsi="Arial"/>
          <w:b/>
          <w:bCs/>
          <w:sz w:val="26"/>
          <w:szCs w:val="26"/>
        </w:rPr>
        <w:t xml:space="preserve">3.4 Variabel Utilitas &amp; Sanitasi (4 variabel)</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100"/>
        <w:gridCol w:w="800"/>
        <w:gridCol w:w="2200"/>
        <w:gridCol w:w="2500"/>
        <w:gridCol w:w="2760"/>
      </w:tblGrid>
      <w:tr>
        <w:trPr>
          <w:tblHeader/>
        </w:trPr>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Variabel</w:t>
            </w:r>
          </w:p>
        </w:tc>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Tipe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Kode Utama</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Deskripsi</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Sumber Distribusi</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sumber_air_minum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11=PAM, 21=Sumur terlindung, 31=Sumur tak terlindung, 41=Permukaan (kode DHS)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Sumber air minum. Kode DHS hv201. Proxy aksesibilitas layanan dasar.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DHS 2017 water_source_dist per provinsi</w:t>
            </w:r>
          </w:p>
        </w:tc>
      </w:tr>
      <w:tr>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fasilitas_bab</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12=Flush+septic, 16=Flush+pit, 21=Cubluk+slab, 51=Terbuka (kode DHS)</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Fasilitas BAB. Kode DHS hv205. Nasional: 70.1% flush+septic, 10% terbuka.</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DHS 2017 toilet_dist per provinsi</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daya_listrik_terpasang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0=Tidak ada, 450, 900, 1300, 2200 (VA)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Daya listrik terpasang. Dikondisikan pada electricity=1. Distribusi: 12% 450VA, 28% 900VA, 38% 1300VA, 22% 2200VA+.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Asumsi berbasis Susenas</w:t>
            </w:r>
          </w:p>
        </w:tc>
      </w:tr>
      <w:tr>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bahan_bakar_memasak</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1=Listrik, 2=LPG, 5=Minyak tanah, 8=Kayu bakar (kode DHS)</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Bahan bakar memasak. Kode DHS hv226. Nasional: 65.3% LPG, 24.5% kayu bakar.</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DHS 2017 cooking_fuel_dist per provinsi</w:t>
            </w:r>
          </w:p>
        </w:tc>
      </w:tr>
    </w:tbl>
    <w:p>
      <w:pPr>
        <w:spacing w:after="160"/>
      </w:pPr>
    </w:p>
    <w:p>
      <w:pPr>
        <w:pStyle w:val="Heading2"/>
        <w:spacing w:after="160" w:before="280"/>
      </w:pPr>
      <w:r>
        <w:rPr>
          <w:rFonts w:ascii="Arial" w:cs="Arial" w:eastAsia="Arial" w:hAnsi="Arial"/>
          <w:b/>
          <w:bCs/>
          <w:sz w:val="26"/>
          <w:szCs w:val="26"/>
        </w:rPr>
        <w:t xml:space="preserve">3.5 Variabel Ekonomi &amp; Aset (9 variabel)</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100"/>
        <w:gridCol w:w="800"/>
        <w:gridCol w:w="2200"/>
        <w:gridCol w:w="2500"/>
        <w:gridCol w:w="2760"/>
      </w:tblGrid>
      <w:tr>
        <w:trPr>
          <w:tblHeader/>
        </w:trPr>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Variabel</w:t>
            </w:r>
          </w:p>
        </w:tc>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Tipe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Range/Kategori</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Deskripsi</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Sumber Distribusi</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pendidikan_kepala_keluarga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0=Tidak sekolah, 1=SD, 2=SMP, 3=SMA, 4=PT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Tingkat pendidikan kepala keluarga. Distribusi dari DHS PR recode education_level.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DHS 2017 education_level nasional</w:t>
            </w:r>
          </w:p>
        </w:tc>
      </w:tr>
      <w:tr>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status_pekerjaan_kk</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0=Tidak bekerja, 1=Informal, 2=Formal, 3=Wirausaha</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Status pekerjaan kepala keluarga. Urban: 35% formal. Rural: 65% informal.</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Asumsi berbasis Sakernas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sektor_pekerjaan_kk</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1=Pertanian, 2=Jasa, 3=Manufaktur, 4=Konstruksi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Sektor pekerjaan. Rural: 55% pertanian. Urban: 55% jasa, 28% manufaktur.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Asumsi berbasis Sakernas</w:t>
            </w:r>
          </w:p>
        </w:tc>
      </w:tr>
      <w:tr>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pengeluaran_per_kapita</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200.000 - 15.000.000 (Rp/bulan)</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FITUR PALING KRITIS. Pengeluaran per kapita per bulan. Di-generate dari LogNormal yang dikalibrasi terhadap Susenas 2025. Error &lt; 0.6% vs target. TIDAK dipakai sebagai model feature (Setup A) karena tidak tersedia di DTKS real.</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Susenas 2025 BPS Tabel II (per provinsi, urban/rural)</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kepemilikan_motor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0=Tidak, 1=Ya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Kepemilikan sepeda motor. Binary. Error &lt; 1pp vs DHS 2017.</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DHS 2017 pct_motorcycle per provinsi</w:t>
            </w:r>
          </w:p>
        </w:tc>
      </w:tr>
      <w:tr>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kepemilikan_mobil</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0=Tidak, 1=Ya</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Kepemilikan mobil/truck. Binary.</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DHS 2017 pct_car per provinsi</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aset_lahan_pertanian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0=Tidak ada, 1=&lt;0.5 ha, 2=&gt;0.5 ha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Kepemilikan lahan pertanian. Hanya di-generate untuk sektor pertanian.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Asumsi</w:t>
            </w:r>
          </w:p>
        </w:tc>
      </w:tr>
      <w:tr>
        <w:tc>
          <w:tcPr>
            <w:tcW w:type="dxa" w:w="2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aset_peternakan</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0=Tidak ada, 1=Unggas, 2=Ruminansia kecil, 3=Ruminansia besar</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Kepemilikan ternak. Hanya di-generate untuk sektor pertanian.</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Asumsi</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aset_elektronik_inti</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0 - 4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Skor kepemilikan elektronik: TV + kulkas + PC/laptop + AC. Dikondisikan pada wealth_index dari DHS.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DHS 2017 wealth_index_dist per provinsi</w:t>
            </w:r>
          </w:p>
        </w:tc>
      </w:tr>
    </w:tbl>
    <w:p>
      <w:pPr>
        <w:spacing w:after="160"/>
      </w:pPr>
    </w:p>
    <w:p>
      <w:pPr>
        <w:pStyle w:val="Heading2"/>
        <w:spacing w:after="160" w:before="280"/>
      </w:pPr>
      <w:r>
        <w:rPr>
          <w:rFonts w:ascii="Arial" w:cs="Arial" w:eastAsia="Arial" w:hAnsi="Arial"/>
          <w:b/>
          <w:bCs/>
          <w:sz w:val="26"/>
          <w:szCs w:val="26"/>
        </w:rPr>
        <w:t xml:space="preserve">3.6 Variabel Label &amp; Target (3 variabel)</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000"/>
        <w:gridCol w:w="3500"/>
        <w:gridCol w:w="28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Variabel</w:t>
            </w:r>
          </w:p>
        </w:tc>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Tipe</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Deskripsi</w:t>
            </w:r>
          </w:p>
        </w:tc>
        <w:tc>
          <w:tcPr>
            <w:tcW w:type="dxa" w:w="2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Catatan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skor_pmt_konvensional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0 - 100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Skor PMT yang dihitung menggunakan bobot statis Permensos No. 5 Tahun 2019. Formula weighted sum dari lantai (22%), air (15%), toilet (15%), listrik (10%), bahan bakar (8%), motor (8%), mobil (10%), TV (6%), kulkas (6%). Dihitung SEBELUM injeksi anomali untuk mensimulasikan data DTKS yang stale.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Dipakai sebagai COMPARATOR, bukan model feature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desil_kesejahteraan_aktual</w:t>
            </w:r>
          </w:p>
        </w:tc>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1 - 10</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Ground truth desil kesejahteraan. Desil 1 = termiskin. Di-compute dari pengeluaran_per_kapita via safe_qcut_desil(). Ini adalah TARGET untuk task klasifikasi desil.</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Target utama (Task 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is_anomaly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atau 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Flag mis-targeting. 1 = rumah tangga yang diinjeksi sebagai anomali (PHK atau bencana). Ini adalah TARGET untuk task deteksi anomali.</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utama (Task 2)</w:t>
            </w:r>
          </w:p>
        </w:tc>
      </w:tr>
    </w:tbl>
    <w:p>
      <w:pPr>
        <w:spacing w:after="160"/>
      </w:pPr>
    </w:p>
    <w:p>
      <w:pPr>
        <w:pBdr>
          <w:bottom w:val="single" w:color="CCCCCC" w:sz="4" w:space="1"/>
        </w:pBdr>
        <w:spacing w:after="160" w:before="160"/>
      </w:pPr>
    </w:p>
    <w:p>
      <w:pPr>
        <w:pStyle w:val="Heading1"/>
        <w:spacing w:after="200" w:before="360"/>
      </w:pPr>
      <w:r>
        <w:rPr>
          <w:rFonts w:ascii="Arial" w:cs="Arial" w:eastAsia="Arial" w:hAnsi="Arial"/>
          <w:b/>
          <w:bCs/>
          <w:sz w:val="32"/>
          <w:szCs w:val="32"/>
        </w:rPr>
        <w:t xml:space="preserve">4. Exploratory Data Analysis (EDA)</w:t>
      </w:r>
    </w:p>
    <w:p>
      <w:pPr>
        <w:spacing w:after="120"/>
      </w:pPr>
      <w:r>
        <w:rPr>
          <w:rFonts w:ascii="Arial" w:cs="Arial" w:eastAsia="Arial" w:hAnsi="Arial"/>
          <w:sz w:val="22"/>
          <w:szCs w:val="22"/>
        </w:rPr>
        <w:t xml:space="preserve">EDA dilakukan menggunakan framework PPDAC (Problem-Plan-Data-Analysis-Conclusion) yang dikombinasikan dengan pendekatan Hypothesis-Driven. Setiap analisis dimulai dari hipotesis yang didefinisikan a priori, diuji secara statistik, dan kesimpulannya langsung menentukan keputusan feature engineering.</w:t>
      </w:r>
    </w:p>
    <w:p>
      <w:pPr>
        <w:pStyle w:val="Heading2"/>
        <w:spacing w:after="160" w:before="280"/>
      </w:pPr>
      <w:r>
        <w:rPr>
          <w:rFonts w:ascii="Arial" w:cs="Arial" w:eastAsia="Arial" w:hAnsi="Arial"/>
          <w:b/>
          <w:bCs/>
          <w:sz w:val="26"/>
          <w:szCs w:val="26"/>
        </w:rPr>
        <w:t xml:space="preserve">4.1 Framework: PPDAC x Hypothesis-Driven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Phase PPDAC</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Isi</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Problem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Definisi masalah: PMT statis menyebabkan exclusion error 46%</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Research Questions dari proposal</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Plan</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 hipotesis null didefinisikan a priori sebelum melihat data, lengkap dengan statistical test yang akan digunakan</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Hypothesis plan document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 validasi kualitas, karakterisasi distribusi dasar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quality report, null checks, range checks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Analysis</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Test 8 hipotesis secara berurutan dengan Mann-Whitney U, Chi-square, Fisher z-test, KS test, Logistic Regression</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p-values, confidence intervals, visualisasi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Conclusion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Sintesis: hipotesis mana yang confirmed, dan apa implikasinya untuk feature engineering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 engineering decisions table</w:t>
            </w:r>
          </w:p>
        </w:tc>
      </w:tr>
    </w:tbl>
    <w:p>
      <w:pPr>
        <w:spacing w:after="160"/>
      </w:pPr>
    </w:p>
    <w:p>
      <w:pPr>
        <w:pStyle w:val="Heading2"/>
        <w:spacing w:after="160" w:before="280"/>
      </w:pPr>
      <w:r>
        <w:rPr>
          <w:rFonts w:ascii="Arial" w:cs="Arial" w:eastAsia="Arial" w:hAnsi="Arial"/>
          <w:b/>
          <w:bCs/>
          <w:sz w:val="26"/>
          <w:szCs w:val="26"/>
        </w:rPr>
        <w:t xml:space="preserve">4.2 Hasil Uji Hipotesis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000"/>
        <w:gridCol w:w="1600"/>
        <w:gridCol w:w="29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Hipotesis</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 Statistik</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p-value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Hasil</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 Decision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H1a: PMT Static Bias (FN vs TN PMT score)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Mann-Whitney U</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0.3230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CONFIRMED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asset_income_mismatch tetap ditambah karena profile FN menunjukkan motor 86.3% vs nasional 74.4%</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H1b: Shock Sensitivity (exclusion error per skenario)</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Chi-square</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0.8228</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NOT CONFIRMED</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Karena PMT score dihitung identik — justru membuktikan PMT tidak sensitif terhadap shock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H1c: Dynamic &gt; Static features (Fisher z-test korelasi)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Fisher z-test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 &lt; 0.0001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log_pengeluaran sebagai primary predictor (r=0.79 vs r&lt;0.002 untuk static features)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H2a: PHK Asset-Income Mismatch</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Mann-Whitney U</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0.0348</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CONFIRMED</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high_asset_low_income_flag: (aset_score &gt;= 3) &amp; (pengeluaran &lt; Q25)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H2b: Bencana Floor Deterioration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Mann-Whitney U</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 &lt; 0.0001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floor_quality sebagai encoded ordinal feature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H2c: PHK vs Bencana Distinct Signatures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KS test</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 &lt; 0.0001</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CONFIRMED</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Dua tipe anomali punya distribusi berbeda secara signifikan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H3a: Pengeluaran vs PMT Dominance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Fisher z-test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 &lt; 0.0001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log_pengeluaran r=0.79 vs PMT r=0.0006 -- superiority confirmed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H3b: Graduation Signal (mobil x high_income)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Logistic Regression OR</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OR=0.969</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NOT CONFIRMED</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graduation_signal di-drop; high_income sendiri sudah OR=2.947</w:t>
            </w:r>
          </w:p>
        </w:tc>
      </w:tr>
    </w:tbl>
    <w:p>
      <w:pPr>
        <w:spacing w:after="200"/>
      </w:pPr>
    </w:p>
    <w:p>
      <w:pPr>
        <w:spacing w:after="120"/>
      </w:pPr>
      <w:r>
        <w:rPr>
          <w:rFonts w:ascii="Arial" w:cs="Arial" w:eastAsia="Arial" w:hAnsi="Arial"/>
          <w:sz w:val="22"/>
          <w:szCs w:val="22"/>
        </w:rPr>
        <w:t xml:space="preserve">Catatan penting dari H1a dan H1b: kedua hipotesis tidak terkonfirmasi secara statistik, namun hasil ini justru memperkuat argumen utama RightAid. PMT score yang identik antara kelompok FN dan TN menunjukkan bahwa PMT memang tidak sensitif terhadap perbedaan income aktual -- ini adalah bukti langsung mengapa sistem ini gagal.</w:t>
      </w:r>
    </w:p>
    <w:p>
      <w:pPr>
        <w:pBdr>
          <w:bottom w:val="single" w:color="CCCCCC" w:sz="4" w:space="1"/>
        </w:pBdr>
        <w:spacing w:after="160" w:before="160"/>
      </w:pPr>
    </w:p>
    <w:p>
      <w:pPr>
        <w:pStyle w:val="Heading1"/>
        <w:spacing w:after="200" w:before="360"/>
      </w:pPr>
      <w:r>
        <w:rPr>
          <w:rFonts w:ascii="Arial" w:cs="Arial" w:eastAsia="Arial" w:hAnsi="Arial"/>
          <w:b/>
          <w:bCs/>
          <w:sz w:val="32"/>
          <w:szCs w:val="32"/>
        </w:rPr>
        <w:t xml:space="preserve">5. Feature Engineering</w:t>
      </w:r>
    </w:p>
    <w:p>
      <w:pPr>
        <w:spacing w:after="120"/>
      </w:pPr>
      <w:r>
        <w:rPr>
          <w:rFonts w:ascii="Arial" w:cs="Arial" w:eastAsia="Arial" w:hAnsi="Arial"/>
          <w:sz w:val="22"/>
          <w:szCs w:val="22"/>
        </w:rPr>
        <w:t xml:space="preserve">Semua fitur yang direkayasa memiliki justifikasi yang berasal dari hasil hipotesis EDA di atas. Tidak ada fitur yang ditambahkan secara arbitrary.</w:t>
      </w:r>
    </w:p>
    <w:p>
      <w:pPr>
        <w:pStyle w:val="Heading2"/>
        <w:spacing w:after="160" w:before="280"/>
      </w:pPr>
      <w:r>
        <w:rPr>
          <w:rFonts w:ascii="Arial" w:cs="Arial" w:eastAsia="Arial" w:hAnsi="Arial"/>
          <w:b/>
          <w:bCs/>
          <w:sz w:val="26"/>
          <w:szCs w:val="26"/>
        </w:rPr>
        <w:t xml:space="preserve">5.1 Fitur yang Di-drop dan Alasannya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Fitur yang Di-drop</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Alasan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pengeluaran_per_kapita &amp; log_pengeluaran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Circular dengan target: desil_aktual = f(pengeluaran). Juga tidak tersedia di DTKS real -- model harus belajar dari proxy saja (Setup A = deployment-realistic scenario).</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skor_pmt_konvensional &amp; desil_pmt_konvensional</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Model shortcut prevention: jika PMT score dijadikan fitur, model akan belajar dari PMT bukan dari raw features. Disimpan sebagai comparator untuk evaluasi.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graduation_signal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H3b NOT CONFIRMED: OR=0.969, tidak ada nilai marginal dari interaksi mobil x high_income.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pmt_overestimate_flag</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Derived dari desil_pmt -- drop ikut dengan PMT features.</w:t>
            </w:r>
          </w:p>
        </w:tc>
      </w:tr>
    </w:tbl>
    <w:p>
      <w:pPr>
        <w:spacing w:after="160"/>
      </w:pPr>
    </w:p>
    <w:p>
      <w:pPr>
        <w:pStyle w:val="Heading2"/>
        <w:spacing w:after="160" w:before="280"/>
      </w:pPr>
      <w:r>
        <w:rPr>
          <w:rFonts w:ascii="Arial" w:cs="Arial" w:eastAsia="Arial" w:hAnsi="Arial"/>
          <w:b/>
          <w:bCs/>
          <w:sz w:val="26"/>
          <w:szCs w:val="26"/>
        </w:rPr>
        <w:t xml:space="preserve">5.2 Fitur Final: Setup A (16 Fitur)</w:t>
      </w:r>
    </w:p>
    <w:p>
      <w:pPr>
        <w:spacing w:after="120"/>
      </w:pPr>
      <w:r>
        <w:rPr>
          <w:rFonts w:ascii="Arial" w:cs="Arial" w:eastAsia="Arial" w:hAnsi="Arial"/>
          <w:sz w:val="22"/>
          <w:szCs w:val="22"/>
        </w:rPr>
        <w:t xml:space="preserve">Setup A mensimulasikan constraint deployment nyata: model hanya menggunakan variabel yang tersedia di survei DTKS/Regsosek, tanpa akses ke data income langsung.</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00"/>
        <w:gridCol w:w="2200"/>
        <w:gridCol w:w="600"/>
        <w:gridCol w:w="700"/>
        <w:gridCol w:w="1800"/>
        <w:gridCol w:w="2000"/>
        <w:gridCol w:w="2760"/>
      </w:tblGrid>
      <w:tr>
        <w:trPr>
          <w:tblHeader/>
        </w:trPr>
        <w:tc>
          <w:tcPr>
            <w:tcW w:type="dxa" w:w="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Nama Fitur</w:t>
            </w:r>
          </w:p>
        </w:tc>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Tipe</w:t>
            </w:r>
          </w:p>
        </w:tc>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Asal Variabel</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Transformasi</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Justifikasi (Hipotesis)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employment_vulnerability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status_pekerjaan_kk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Ordinal remap: formal=0, wirausaha=1, informal=2, tidak bekerja=3 (higher=more vulnerable)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H2a confirmed: employment status sebagai dynamic vulnerability signal</w:t>
            </w:r>
          </w:p>
        </w:tc>
      </w:tr>
      <w:tr>
        <w:tc>
          <w:tcPr>
            <w:tcW w:type="dxa" w:w="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dependency_ratio</w:t>
            </w:r>
          </w:p>
        </w:tc>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float</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0.0-3.0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dependency_ratio</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Langsung dari generator, StandardScaler di modeling</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Dynamic feature, tidak tersedia di PMT konvensional</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floor_quality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jenis_lantai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OrdinalEncoder: 11(tanah)=0, 12(bambu)=1, 21(kayu)=2, 32(semen)=3, 33(keramik)=4, 35(granit)=5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H2b confirmed: floor deterioration signature pada bencana anomaly</w:t>
            </w:r>
          </w:p>
        </w:tc>
      </w:tr>
      <w:tr>
        <w:tc>
          <w:tcPr>
            <w:tcW w:type="dxa" w:w="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daya_listrik_ord</w:t>
            </w:r>
          </w:p>
        </w:tc>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0-4</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daya_listrik_terpasang</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OrdinalEncoder: 0VA=0, 450VA=1, 900VA=2, 1300VA=3, 2200VA+=4</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Proxy kesejahteraan yang lebih sensitif dari binary electricity flag</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status_rumah_ord</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status_kepemilikan_rumah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OrdinalEncoder: kontrak/bebas/dinas=0, milik sendiri=1 (simplified)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Proxy stabilitas ekonomi jangka panjang</w:t>
            </w:r>
          </w:p>
        </w:tc>
      </w:tr>
      <w:tr>
        <w:tc>
          <w:tcPr>
            <w:tcW w:type="dxa" w:w="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kepemilikan_motor</w:t>
            </w:r>
          </w:p>
        </w:tc>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0-1</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kepemilikan_motor</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Binary, langsung dari generator</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Aset fisik utama PMT; dikalibrasi dari DHS 2017 per provinsi</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kepemilikan_mobil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kepemilikan_mobil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Binary, langsung dari generator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Aset fisik PMT; key asset dalam asset-income mismatch signal (H1a, H2a)</w:t>
            </w:r>
          </w:p>
        </w:tc>
      </w:tr>
      <w:tr>
        <w:tc>
          <w:tcPr>
            <w:tcW w:type="dxa" w:w="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aset_score</w:t>
            </w:r>
          </w:p>
        </w:tc>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0-4</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kepemilikan_motor + kepemilikan_mobil + has_tv + has_fridge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Sum dari 4 binary asset flags</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Composite asset proxy; menangkap overall wealth lebih baik dari asset tunggal</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aset_elektronik_inti</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has_tv + has_fridge + has_pc + has_ac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 dari 4 binary electronic asset flags; PC/AC dikondisikan pada wealth_index DHS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Proxy modern consumption level</w:t>
            </w:r>
          </w:p>
        </w:tc>
      </w:tr>
      <w:tr>
        <w:tc>
          <w:tcPr>
            <w:tcW w:type="dxa" w:w="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usia_kepala_keluarga</w:t>
            </w:r>
          </w:p>
        </w:tc>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18-90</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usia_kepala_keluarga</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Langsung dari generator, StandardScaler di modeling</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Demographic control; berkorelasi dengan lifecycle wealth accumulation</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is_urban_bin</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urban_rural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Binary recode: urban_rural==1 -&gt; 1, urban_rural==2 -&gt; 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Urban/rural sebagai spatial context; penting karena distribusi kemiskinan berbeda signifikan</w:t>
            </w:r>
          </w:p>
        </w:tc>
      </w:tr>
      <w:tr>
        <w:tc>
          <w:tcPr>
            <w:tcW w:type="dxa" w:w="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12</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asset_income_mismatch</w:t>
            </w:r>
          </w:p>
        </w:tc>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0-1</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aset_score, pengeluaran_per_kapita</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Binary: (aset_score &gt;= 3) AND (pengeluaran &lt; Q25 nasional). Q25 dihitung dari full dataset.</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H1a: profile FN group menunjukkan high asset + low income. Menangkap mis-targeting signature.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high_asset_low_income_flag</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aset_score, pengeluaran_per_kapita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Binary: sama dengan asset_income_mismatch (deliberate redundancy untuk feature ablation study)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H2a CONFIRMED: PHK anomaly punya higher asset score meski income collapse (p=0.0348)</w:t>
            </w:r>
          </w:p>
        </w:tc>
      </w:tr>
      <w:tr>
        <w:tc>
          <w:tcPr>
            <w:tcW w:type="dxa" w:w="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14</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has_tv</w:t>
            </w:r>
          </w:p>
        </w:tc>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0-1</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has_tv</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Binary, langsung dari generator</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Dikalibrasi dari DHS 2017 pct_tv per provinsi (85.2% nasional)</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has_fridge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has_fridge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Binary, langsung dari generator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Dikalibrasi dari DHS 2017 pct_fridge per provinsi (57.3% nasional)</w:t>
            </w:r>
          </w:p>
        </w:tc>
      </w:tr>
      <w:tr>
        <w:tc>
          <w:tcPr>
            <w:tcW w:type="dxa" w:w="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16</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has_mobile</w:t>
            </w:r>
          </w:p>
        </w:tc>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w:t>
            </w:r>
          </w:p>
        </w:tc>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0-1</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has_mobile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Binary, langsung dari generator</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Dikalibrasi dari DHS 2017 pct_mobile per provinsi (89.6% nasional)</w:t>
            </w:r>
          </w:p>
        </w:tc>
      </w:tr>
    </w:tbl>
    <w:p>
      <w:pPr>
        <w:spacing w:after="160"/>
      </w:pPr>
    </w:p>
    <w:p>
      <w:pPr>
        <w:pStyle w:val="Heading2"/>
        <w:spacing w:after="160" w:before="280"/>
      </w:pPr>
      <w:r>
        <w:rPr>
          <w:rFonts w:ascii="Arial" w:cs="Arial" w:eastAsia="Arial" w:hAnsi="Arial"/>
          <w:b/>
          <w:bCs/>
          <w:sz w:val="26"/>
          <w:szCs w:val="26"/>
        </w:rPr>
        <w:t xml:space="preserve">5.3 Comparators (tidak dipakai sebagai model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Variabel</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Fungsi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skor_pmt_konvensional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Dibandingkan dengan prediksi ML untuk menghitung PMT error rate, exclusion error, dan mis-targeting gap di evaluation dashboard</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desil_pmt_konvensional</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Dipakai untuk confusion matrix PMT vs ML vs ground truth di frontend RightAid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pengeluaran_per_kapita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Dipakai untuk konstruksi target (desil_aktual) dan untuk validasi kalibrasi synthetic engine</w:t>
            </w:r>
          </w:p>
        </w:tc>
      </w:tr>
    </w:tbl>
    <w:p>
      <w:pPr>
        <w:spacing w:after="160"/>
      </w:pPr>
    </w:p>
    <w:p>
      <w:pPr>
        <w:pBdr>
          <w:bottom w:val="single" w:color="CCCCCC" w:sz="4" w:space="1"/>
        </w:pBdr>
        <w:spacing w:after="160" w:before="160"/>
      </w:pPr>
    </w:p>
    <w:p>
      <w:pPr>
        <w:pStyle w:val="Heading1"/>
        <w:spacing w:after="200" w:before="360"/>
      </w:pPr>
      <w:r>
        <w:rPr>
          <w:rFonts w:ascii="Arial" w:cs="Arial" w:eastAsia="Arial" w:hAnsi="Arial"/>
          <w:b/>
          <w:bCs/>
          <w:sz w:val="32"/>
          <w:szCs w:val="32"/>
        </w:rPr>
        <w:t xml:space="preserve">6. Alur Notebook</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00"/>
        <w:gridCol w:w="2200"/>
        <w:gridCol w:w="2500"/>
        <w:gridCol w:w="2500"/>
        <w:gridCol w:w="860"/>
      </w:tblGrid>
      <w:tr>
        <w:trPr>
          <w:tblHeader/>
        </w:trPr>
        <w:tc>
          <w:tcPr>
            <w:tcW w:type="dxa" w:w="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Notebook</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DHS EDA Explorer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IDHR71FL.DTA, IDPR71FL.DTA (DHS 2017)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province_config_dhs2017.json</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DONE</w:t>
            </w:r>
          </w:p>
        </w:tc>
      </w:tr>
      <w:tr>
        <w:tc>
          <w:tcPr>
            <w:tcW w:type="dxa" w:w="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Dataset Merger</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province_config_dhs2017.json + Susenas 2025 (hardcoded)</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province_master_config.json</w:t>
            </w:r>
          </w:p>
        </w:tc>
        <w:tc>
          <w:tcPr>
            <w:tcW w:type="dxa" w:w="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DONE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Synthetic Data Generator v2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province_master_config.json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synthetic_all_provinces.parquet (1.14M rows, 30MB)</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DONE</w:t>
            </w:r>
          </w:p>
        </w:tc>
      </w:tr>
      <w:tr>
        <w:tc>
          <w:tcPr>
            <w:tcW w:type="dxa" w:w="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EDA + Feature Engineering</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synthetic_all_provinces.parquet</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rightaid_processed.parquet (1.14M rows, 48 cols, 42MB) + eda_metadata.json</w:t>
            </w:r>
          </w:p>
        </w:tc>
        <w:tc>
          <w:tcPr>
            <w:tcW w:type="dxa" w:w="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DONE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XGBoost Modeling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rightaid_processed.parquet + eda_metadata.json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xgboost_desil_v1.pkl, xgboost_anomaly_v1.pkl, evaluation_report.json</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w:t>
            </w:r>
          </w:p>
        </w:tc>
      </w:tr>
    </w:tbl>
    <w:p>
      <w:pPr>
        <w:spacing w:after="160"/>
      </w:pPr>
    </w:p>
    <w:p>
      <w:pPr>
        <w:pBdr>
          <w:bottom w:val="single" w:color="CCCCCC" w:sz="4" w:space="1"/>
        </w:pBdr>
        <w:spacing w:after="160" w:before="160"/>
      </w:pPr>
    </w:p>
    <w:p>
      <w:pPr>
        <w:pStyle w:val="Heading1"/>
        <w:spacing w:after="200" w:before="360"/>
      </w:pPr>
      <w:r>
        <w:rPr>
          <w:rFonts w:ascii="Arial" w:cs="Arial" w:eastAsia="Arial" w:hAnsi="Arial"/>
          <w:b/>
          <w:bCs/>
          <w:sz w:val="32"/>
          <w:szCs w:val="32"/>
        </w:rPr>
        <w:t xml:space="preserve">7. Feature Set Final (Setup A) -- Cell 16 EDA Notebook</w:t>
      </w:r>
    </w:p>
    <w:p>
      <w:pPr>
        <w:spacing w:after="120"/>
      </w:pPr>
      <w:r>
        <w:rPr>
          <w:rFonts w:ascii="Arial" w:cs="Arial" w:eastAsia="Arial" w:hAnsi="Arial"/>
          <w:sz w:val="22"/>
          <w:szCs w:val="22"/>
        </w:rPr>
        <w:t xml:space="preserve">Cell ini ditambahkan di akhir EDA notebook (setelah Cell 15) untuk merevisi feature set sebelum masuk ke modeling notebook. Fitur yang di-drop berdasarkan analisis circular target construction dan PMT shortcut prevention.</w:t>
      </w:r>
    </w:p>
    <w:p>
      <w:pPr>
        <w:pStyle w:val="Heading2"/>
        <w:spacing w:after="160" w:before="280"/>
      </w:pPr>
      <w:r>
        <w:rPr>
          <w:rFonts w:ascii="Arial" w:cs="Arial" w:eastAsia="Arial" w:hAnsi="Arial"/>
          <w:b/>
          <w:bCs/>
          <w:sz w:val="26"/>
          <w:szCs w:val="26"/>
        </w:rPr>
        <w:t xml:space="preserve">Code: Cell 16 -- Setup A Feature Set</w:t>
      </w:r>
    </w:p>
    <w:p>
      <w:pPr>
        <w:spacing w:after="120"/>
      </w:pPr>
      <w:r>
        <w:rPr>
          <w:rFonts w:ascii="Arial" w:cs="Arial" w:eastAsia="Arial" w:hAnsi="Arial"/>
          <w:sz w:val="22"/>
          <w:szCs w:val="22"/>
        </w:rPr>
        <w:t xml:space="preserve">Paste sebagai cell tambahan di akhir EDA notebook:</w:t>
      </w:r>
    </w:p>
    <w:p>
      <w:pPr>
        <w:spacing w:after="80"/>
      </w:pPr>
    </w:p>
    <w:p>
      <w:pPr>
        <w:spacing w:after="80"/>
        <w:ind w:left="720"/>
      </w:pPr>
      <w:r>
        <w:rPr>
          <w:rFonts w:ascii="Courier New" w:cs="Courier New" w:eastAsia="Courier New" w:hAnsi="Courier New"/>
          <w:color w:val="1F497D"/>
          <w:sz w:val="20"/>
          <w:szCs w:val="20"/>
        </w:rPr>
        <w:t xml:space="preserve"># =============================================================================</w:t>
      </w:r>
    </w:p>
    <w:p>
      <w:pPr>
        <w:spacing w:after="80"/>
        <w:ind w:left="720"/>
      </w:pPr>
      <w:r>
        <w:rPr>
          <w:rFonts w:ascii="Courier New" w:cs="Courier New" w:eastAsia="Courier New" w:hAnsi="Courier New"/>
          <w:color w:val="1F497D"/>
          <w:sz w:val="20"/>
          <w:szCs w:val="20"/>
        </w:rPr>
        <w:t xml:space="preserve"># CELL 16 -- Setup A Feature Set (revised post-analysis)</w:t>
      </w:r>
    </w:p>
    <w:p>
      <w:pPr>
        <w:spacing w:after="80"/>
        <w:ind w:left="720"/>
      </w:pPr>
      <w:r>
        <w:rPr>
          <w:rFonts w:ascii="Courier New" w:cs="Courier New" w:eastAsia="Courier New" w:hAnsi="Courier New"/>
          <w:color w:val="1F497D"/>
          <w:sz w:val="20"/>
          <w:szCs w:val="20"/>
        </w:rPr>
        <w:t xml:space="preserve"># Drop: log_pengeluaran, skor_pmt_konvensional, desil_pmt_konvensional,</w:t>
      </w:r>
    </w:p>
    <w:p>
      <w:pPr>
        <w:spacing w:after="80"/>
        <w:ind w:left="720"/>
      </w:pPr>
      <w:r>
        <w:rPr>
          <w:rFonts w:ascii="Courier New" w:cs="Courier New" w:eastAsia="Courier New" w:hAnsi="Courier New"/>
          <w:color w:val="1F497D"/>
          <w:sz w:val="20"/>
          <w:szCs w:val="20"/>
        </w:rPr>
        <w:t xml:space="preserve">#        graduation_signal (H3b not confirmed), pmt_overestimate_flag</w:t>
      </w:r>
    </w:p>
    <w:p>
      <w:pPr>
        <w:spacing w:after="80"/>
        <w:ind w:left="720"/>
      </w:pPr>
      <w:r>
        <w:rPr>
          <w:rFonts w:ascii="Courier New" w:cs="Courier New" w:eastAsia="Courier New" w:hAnsi="Courier New"/>
          <w:color w:val="1F497D"/>
          <w:sz w:val="20"/>
          <w:szCs w:val="20"/>
        </w:rPr>
        <w:t xml:space="preserve"># Reason: circular target construction + PMT shortcut prevention</w:t>
      </w:r>
    </w:p>
    <w:p>
      <w:pPr>
        <w:spacing w:after="80"/>
        <w:ind w:left="720"/>
      </w:pPr>
      <w:r>
        <w:rPr>
          <w:rFonts w:ascii="Courier New" w:cs="Courier New" w:eastAsia="Courier New" w:hAnsi="Courier New"/>
          <w:color w:val="1F497D"/>
          <w:sz w:val="20"/>
          <w:szCs w:val="20"/>
        </w:rPr>
        <w:t xml:space="preserve"># =============================================================================</w:t>
      </w:r>
    </w:p>
    <w:p>
      <w:pPr>
        <w:spacing w:after="80"/>
        <w:ind w:left="720"/>
      </w:pPr>
      <w:r>
        <w:rPr>
          <w:rFonts w:ascii="Courier New" w:cs="Courier New" w:eastAsia="Courier New" w:hAnsi="Courier New"/>
          <w:color w:val="1F497D"/>
          <w:sz w:val="20"/>
          <w:szCs w:val="20"/>
        </w:rPr>
        <w:t xml:space="preserve"/>
      </w:r>
    </w:p>
    <w:p>
      <w:pPr>
        <w:spacing w:after="80"/>
        <w:ind w:left="720"/>
      </w:pPr>
      <w:r>
        <w:rPr>
          <w:rFonts w:ascii="Courier New" w:cs="Courier New" w:eastAsia="Courier New" w:hAnsi="Courier New"/>
          <w:color w:val="1F497D"/>
          <w:sz w:val="20"/>
          <w:szCs w:val="20"/>
        </w:rPr>
        <w:t xml:space="preserve">MODEL_FEATURES_A = [</w:t>
      </w:r>
    </w:p>
    <w:p>
      <w:pPr>
        <w:spacing w:after="80"/>
        <w:ind w:left="720"/>
      </w:pPr>
      <w:r>
        <w:rPr>
          <w:rFonts w:ascii="Courier New" w:cs="Courier New" w:eastAsia="Courier New" w:hAnsi="Courier New"/>
          <w:color w:val="1F497D"/>
          <w:sz w:val="20"/>
          <w:szCs w:val="20"/>
        </w:rPr>
        <w:t xml:space="preserve">    "employment_vulnerability",</w:t>
      </w:r>
    </w:p>
    <w:p>
      <w:pPr>
        <w:spacing w:after="80"/>
        <w:ind w:left="720"/>
      </w:pPr>
      <w:r>
        <w:rPr>
          <w:rFonts w:ascii="Courier New" w:cs="Courier New" w:eastAsia="Courier New" w:hAnsi="Courier New"/>
          <w:color w:val="1F497D"/>
          <w:sz w:val="20"/>
          <w:szCs w:val="20"/>
        </w:rPr>
        <w:t xml:space="preserve">    "dependency_ratio",</w:t>
      </w:r>
    </w:p>
    <w:p>
      <w:pPr>
        <w:spacing w:after="80"/>
        <w:ind w:left="720"/>
      </w:pPr>
      <w:r>
        <w:rPr>
          <w:rFonts w:ascii="Courier New" w:cs="Courier New" w:eastAsia="Courier New" w:hAnsi="Courier New"/>
          <w:color w:val="1F497D"/>
          <w:sz w:val="20"/>
          <w:szCs w:val="20"/>
        </w:rPr>
        <w:t xml:space="preserve">    "floor_quality",</w:t>
      </w:r>
    </w:p>
    <w:p>
      <w:pPr>
        <w:spacing w:after="80"/>
        <w:ind w:left="720"/>
      </w:pPr>
      <w:r>
        <w:rPr>
          <w:rFonts w:ascii="Courier New" w:cs="Courier New" w:eastAsia="Courier New" w:hAnsi="Courier New"/>
          <w:color w:val="1F497D"/>
          <w:sz w:val="20"/>
          <w:szCs w:val="20"/>
        </w:rPr>
        <w:t xml:space="preserve">    "daya_listrik_ord",</w:t>
      </w:r>
    </w:p>
    <w:p>
      <w:pPr>
        <w:spacing w:after="80"/>
        <w:ind w:left="720"/>
      </w:pPr>
      <w:r>
        <w:rPr>
          <w:rFonts w:ascii="Courier New" w:cs="Courier New" w:eastAsia="Courier New" w:hAnsi="Courier New"/>
          <w:color w:val="1F497D"/>
          <w:sz w:val="20"/>
          <w:szCs w:val="20"/>
        </w:rPr>
        <w:t xml:space="preserve">    "status_rumah_ord",</w:t>
      </w:r>
    </w:p>
    <w:p>
      <w:pPr>
        <w:spacing w:after="80"/>
        <w:ind w:left="720"/>
      </w:pPr>
      <w:r>
        <w:rPr>
          <w:rFonts w:ascii="Courier New" w:cs="Courier New" w:eastAsia="Courier New" w:hAnsi="Courier New"/>
          <w:color w:val="1F497D"/>
          <w:sz w:val="20"/>
          <w:szCs w:val="20"/>
        </w:rPr>
        <w:t xml:space="preserve">    "kepemilikan_motor",</w:t>
      </w:r>
    </w:p>
    <w:p>
      <w:pPr>
        <w:spacing w:after="80"/>
        <w:ind w:left="720"/>
      </w:pPr>
      <w:r>
        <w:rPr>
          <w:rFonts w:ascii="Courier New" w:cs="Courier New" w:eastAsia="Courier New" w:hAnsi="Courier New"/>
          <w:color w:val="1F497D"/>
          <w:sz w:val="20"/>
          <w:szCs w:val="20"/>
        </w:rPr>
        <w:t xml:space="preserve">    "kepemilikan_mobil",</w:t>
      </w:r>
    </w:p>
    <w:p>
      <w:pPr>
        <w:spacing w:after="80"/>
        <w:ind w:left="720"/>
      </w:pPr>
      <w:r>
        <w:rPr>
          <w:rFonts w:ascii="Courier New" w:cs="Courier New" w:eastAsia="Courier New" w:hAnsi="Courier New"/>
          <w:color w:val="1F497D"/>
          <w:sz w:val="20"/>
          <w:szCs w:val="20"/>
        </w:rPr>
        <w:t xml:space="preserve">    "aset_score",</w:t>
      </w:r>
    </w:p>
    <w:p>
      <w:pPr>
        <w:spacing w:after="80"/>
        <w:ind w:left="720"/>
      </w:pPr>
      <w:r>
        <w:rPr>
          <w:rFonts w:ascii="Courier New" w:cs="Courier New" w:eastAsia="Courier New" w:hAnsi="Courier New"/>
          <w:color w:val="1F497D"/>
          <w:sz w:val="20"/>
          <w:szCs w:val="20"/>
        </w:rPr>
        <w:t xml:space="preserve">    "aset_elektronik_inti",</w:t>
      </w:r>
    </w:p>
    <w:p>
      <w:pPr>
        <w:spacing w:after="80"/>
        <w:ind w:left="720"/>
      </w:pPr>
      <w:r>
        <w:rPr>
          <w:rFonts w:ascii="Courier New" w:cs="Courier New" w:eastAsia="Courier New" w:hAnsi="Courier New"/>
          <w:color w:val="1F497D"/>
          <w:sz w:val="20"/>
          <w:szCs w:val="20"/>
        </w:rPr>
        <w:t xml:space="preserve">    "usia_kepala_keluarga",</w:t>
      </w:r>
    </w:p>
    <w:p>
      <w:pPr>
        <w:spacing w:after="80"/>
        <w:ind w:left="720"/>
      </w:pPr>
      <w:r>
        <w:rPr>
          <w:rFonts w:ascii="Courier New" w:cs="Courier New" w:eastAsia="Courier New" w:hAnsi="Courier New"/>
          <w:color w:val="1F497D"/>
          <w:sz w:val="20"/>
          <w:szCs w:val="20"/>
        </w:rPr>
        <w:t xml:space="preserve">    "is_urban_bin",</w:t>
      </w:r>
    </w:p>
    <w:p>
      <w:pPr>
        <w:spacing w:after="80"/>
        <w:ind w:left="720"/>
      </w:pPr>
      <w:r>
        <w:rPr>
          <w:rFonts w:ascii="Courier New" w:cs="Courier New" w:eastAsia="Courier New" w:hAnsi="Courier New"/>
          <w:color w:val="1F497D"/>
          <w:sz w:val="20"/>
          <w:szCs w:val="20"/>
        </w:rPr>
        <w:t xml:space="preserve">    "asset_income_mismatch",</w:t>
      </w:r>
    </w:p>
    <w:p>
      <w:pPr>
        <w:spacing w:after="80"/>
        <w:ind w:left="720"/>
      </w:pPr>
      <w:r>
        <w:rPr>
          <w:rFonts w:ascii="Courier New" w:cs="Courier New" w:eastAsia="Courier New" w:hAnsi="Courier New"/>
          <w:color w:val="1F497D"/>
          <w:sz w:val="20"/>
          <w:szCs w:val="20"/>
        </w:rPr>
        <w:t xml:space="preserve">    "high_asset_low_income_flag",</w:t>
      </w:r>
    </w:p>
    <w:p>
      <w:pPr>
        <w:spacing w:after="80"/>
        <w:ind w:left="720"/>
      </w:pPr>
      <w:r>
        <w:rPr>
          <w:rFonts w:ascii="Courier New" w:cs="Courier New" w:eastAsia="Courier New" w:hAnsi="Courier New"/>
          <w:color w:val="1F497D"/>
          <w:sz w:val="20"/>
          <w:szCs w:val="20"/>
        </w:rPr>
        <w:t xml:space="preserve">    "has_tv",</w:t>
      </w:r>
    </w:p>
    <w:p>
      <w:pPr>
        <w:spacing w:after="80"/>
        <w:ind w:left="720"/>
      </w:pPr>
      <w:r>
        <w:rPr>
          <w:rFonts w:ascii="Courier New" w:cs="Courier New" w:eastAsia="Courier New" w:hAnsi="Courier New"/>
          <w:color w:val="1F497D"/>
          <w:sz w:val="20"/>
          <w:szCs w:val="20"/>
        </w:rPr>
        <w:t xml:space="preserve">    "has_fridge",</w:t>
      </w:r>
    </w:p>
    <w:p>
      <w:pPr>
        <w:spacing w:after="80"/>
        <w:ind w:left="720"/>
      </w:pPr>
      <w:r>
        <w:rPr>
          <w:rFonts w:ascii="Courier New" w:cs="Courier New" w:eastAsia="Courier New" w:hAnsi="Courier New"/>
          <w:color w:val="1F497D"/>
          <w:sz w:val="20"/>
          <w:szCs w:val="20"/>
        </w:rPr>
        <w:t xml:space="preserve">    "has_mobile",</w:t>
      </w:r>
    </w:p>
    <w:p>
      <w:pPr>
        <w:spacing w:after="80"/>
        <w:ind w:left="720"/>
      </w:pPr>
      <w:r>
        <w:rPr>
          <w:rFonts w:ascii="Courier New" w:cs="Courier New" w:eastAsia="Courier New" w:hAnsi="Courier New"/>
          <w:color w:val="1F497D"/>
          <w:sz w:val="20"/>
          <w:szCs w:val="20"/>
        </w:rPr>
        <w:t xml:space="preserve">]</w:t>
      </w:r>
    </w:p>
    <w:p>
      <w:pPr>
        <w:spacing w:after="80"/>
        <w:ind w:left="720"/>
      </w:pPr>
      <w:r>
        <w:rPr>
          <w:rFonts w:ascii="Courier New" w:cs="Courier New" w:eastAsia="Courier New" w:hAnsi="Courier New"/>
          <w:color w:val="1F497D"/>
          <w:sz w:val="20"/>
          <w:szCs w:val="20"/>
        </w:rPr>
        <w:t xml:space="preserve"/>
      </w:r>
    </w:p>
    <w:p>
      <w:pPr>
        <w:spacing w:after="80"/>
        <w:ind w:left="720"/>
      </w:pPr>
      <w:r>
        <w:rPr>
          <w:rFonts w:ascii="Courier New" w:cs="Courier New" w:eastAsia="Courier New" w:hAnsi="Courier New"/>
          <w:color w:val="1F497D"/>
          <w:sz w:val="20"/>
          <w:szCs w:val="20"/>
        </w:rPr>
        <w:t xml:space="preserve"># Update metadata</w:t>
      </w:r>
    </w:p>
    <w:p>
      <w:pPr>
        <w:spacing w:after="80"/>
        <w:ind w:left="720"/>
      </w:pPr>
      <w:r>
        <w:rPr>
          <w:rFonts w:ascii="Courier New" w:cs="Courier New" w:eastAsia="Courier New" w:hAnsi="Courier New"/>
          <w:color w:val="1F497D"/>
          <w:sz w:val="20"/>
          <w:szCs w:val="20"/>
        </w:rPr>
        <w:t xml:space="preserve">metadata["model_features"]  = MODEL_FEATURES_A</w:t>
      </w:r>
    </w:p>
    <w:p>
      <w:pPr>
        <w:spacing w:after="80"/>
        <w:ind w:left="720"/>
      </w:pPr>
      <w:r>
        <w:rPr>
          <w:rFonts w:ascii="Courier New" w:cs="Courier New" w:eastAsia="Courier New" w:hAnsi="Courier New"/>
          <w:color w:val="1F497D"/>
          <w:sz w:val="20"/>
          <w:szCs w:val="20"/>
        </w:rPr>
        <w:t xml:space="preserve">metadata["setup"]           = "A"</w:t>
      </w:r>
    </w:p>
    <w:p>
      <w:pPr>
        <w:spacing w:after="80"/>
        <w:ind w:left="720"/>
      </w:pPr>
      <w:r>
        <w:rPr>
          <w:rFonts w:ascii="Courier New" w:cs="Courier New" w:eastAsia="Courier New" w:hAnsi="Courier New"/>
          <w:color w:val="1F497D"/>
          <w:sz w:val="20"/>
          <w:szCs w:val="20"/>
        </w:rPr>
        <w:t xml:space="preserve">metadata["setup_rationale"] = (</w:t>
      </w:r>
    </w:p>
    <w:p>
      <w:pPr>
        <w:spacing w:after="80"/>
        <w:ind w:left="720"/>
      </w:pPr>
      <w:r>
        <w:rPr>
          <w:rFonts w:ascii="Courier New" w:cs="Courier New" w:eastAsia="Courier New" w:hAnsi="Courier New"/>
          <w:color w:val="1F497D"/>
          <w:sz w:val="20"/>
          <w:szCs w:val="20"/>
        </w:rPr>
        <w:t xml:space="preserve">    "Drop pengeluaran (circular with target), PMT score (shortcut prevention). "</w:t>
      </w:r>
    </w:p>
    <w:p>
      <w:pPr>
        <w:spacing w:after="80"/>
        <w:ind w:left="720"/>
      </w:pPr>
      <w:r>
        <w:rPr>
          <w:rFonts w:ascii="Courier New" w:cs="Courier New" w:eastAsia="Courier New" w:hAnsi="Courier New"/>
          <w:color w:val="1F497D"/>
          <w:sz w:val="20"/>
          <w:szCs w:val="20"/>
        </w:rPr>
        <w:t xml:space="preserve">    "Model must learn from proxy variables only -- mirrors real DTKS deployment."</w:t>
      </w:r>
    </w:p>
    <w:p>
      <w:pPr>
        <w:spacing w:after="80"/>
        <w:ind w:left="720"/>
      </w:pPr>
      <w:r>
        <w:rPr>
          <w:rFonts w:ascii="Courier New" w:cs="Courier New" w:eastAsia="Courier New" w:hAnsi="Courier New"/>
          <w:color w:val="1F497D"/>
          <w:sz w:val="20"/>
          <w:szCs w:val="20"/>
        </w:rPr>
        <w:t xml:space="preserve">)</w:t>
      </w:r>
    </w:p>
    <w:p>
      <w:pPr>
        <w:spacing w:after="80"/>
        <w:ind w:left="720"/>
      </w:pPr>
      <w:r>
        <w:rPr>
          <w:rFonts w:ascii="Courier New" w:cs="Courier New" w:eastAsia="Courier New" w:hAnsi="Courier New"/>
          <w:color w:val="1F497D"/>
          <w:sz w:val="20"/>
          <w:szCs w:val="20"/>
        </w:rPr>
        <w:t xml:space="preserve"/>
      </w:r>
    </w:p>
    <w:p>
      <w:pPr>
        <w:spacing w:after="80"/>
        <w:ind w:left="720"/>
      </w:pPr>
      <w:r>
        <w:rPr>
          <w:rFonts w:ascii="Courier New" w:cs="Courier New" w:eastAsia="Courier New" w:hAnsi="Courier New"/>
          <w:color w:val="1F497D"/>
          <w:sz w:val="20"/>
          <w:szCs w:val="20"/>
        </w:rPr>
        <w:t xml:space="preserve">with open(OUTPUT_DIR / "eda_metadata.json", "w", encoding="utf-8") as f:</w:t>
      </w:r>
    </w:p>
    <w:p>
      <w:pPr>
        <w:spacing w:after="80"/>
        <w:ind w:left="720"/>
      </w:pPr>
      <w:r>
        <w:rPr>
          <w:rFonts w:ascii="Courier New" w:cs="Courier New" w:eastAsia="Courier New" w:hAnsi="Courier New"/>
          <w:color w:val="1F497D"/>
          <w:sz w:val="20"/>
          <w:szCs w:val="20"/>
        </w:rPr>
        <w:t xml:space="preserve">    json.dump(metadata, f, indent=2, ensure_ascii=False)</w:t>
      </w:r>
    </w:p>
    <w:p>
      <w:pPr>
        <w:spacing w:after="80"/>
        <w:ind w:left="720"/>
      </w:pPr>
      <w:r>
        <w:rPr>
          <w:rFonts w:ascii="Courier New" w:cs="Courier New" w:eastAsia="Courier New" w:hAnsi="Courier New"/>
          <w:color w:val="1F497D"/>
          <w:sz w:val="20"/>
          <w:szCs w:val="20"/>
        </w:rPr>
        <w:t xml:space="preserve"/>
      </w:r>
    </w:p>
    <w:p>
      <w:pPr>
        <w:spacing w:after="80"/>
        <w:ind w:left="720"/>
      </w:pPr>
      <w:r>
        <w:rPr>
          <w:rFonts w:ascii="Courier New" w:cs="Courier New" w:eastAsia="Courier New" w:hAnsi="Courier New"/>
          <w:color w:val="1F497D"/>
          <w:sz w:val="20"/>
          <w:szCs w:val="20"/>
        </w:rPr>
        <w:t xml:space="preserve">print(f'Setup A features ({len(MODEL_FEATURES_A)}): {MODEL_FEATURES_A}')</w:t>
      </w:r>
    </w:p>
    <w:p>
      <w:pPr>
        <w:spacing w:after="80"/>
        <w:ind w:left="720"/>
      </w:pPr>
      <w:r>
        <w:rPr>
          <w:rFonts w:ascii="Courier New" w:cs="Courier New" w:eastAsia="Courier New" w:hAnsi="Courier New"/>
          <w:color w:val="1F497D"/>
          <w:sz w:val="20"/>
          <w:szCs w:val="20"/>
        </w:rPr>
        <w:t xml:space="preserve">logger.info('setup_a_features_saved n=%d', len(MODEL_FEATURES_A))</w:t>
      </w:r>
    </w:p>
    <w:p>
      <w:pPr>
        <w:spacing w:after="200"/>
      </w:pPr>
    </w:p>
    <w:p>
      <w:pPr>
        <w:pBdr>
          <w:bottom w:val="single" w:color="CCCCCC" w:sz="4" w:space="1"/>
        </w:pBdr>
        <w:spacing w:after="160" w:before="160"/>
      </w:pPr>
    </w:p>
    <w:p>
      <w:pPr>
        <w:pStyle w:val="Heading1"/>
        <w:spacing w:after="200" w:before="360"/>
      </w:pPr>
      <w:r>
        <w:rPr>
          <w:rFonts w:ascii="Arial" w:cs="Arial" w:eastAsia="Arial" w:hAnsi="Arial"/>
          <w:b/>
          <w:bCs/>
          <w:sz w:val="32"/>
          <w:szCs w:val="32"/>
        </w:rPr>
        <w:t xml:space="preserve">8. Referensi</w:t>
      </w:r>
    </w:p>
    <w:p>
      <w:pPr>
        <w:pStyle w:val="ListParagraph"/>
        <w:numPr>
          <w:ilvl w:val="0"/>
          <w:numId w:val="2"/>
        </w:numPr>
        <w:spacing w:after="80"/>
      </w:pPr>
      <w:r>
        <w:rPr>
          <w:rFonts w:ascii="Arial" w:cs="Arial" w:eastAsia="Arial" w:hAnsi="Arial"/>
          <w:sz w:val="22"/>
          <w:szCs w:val="22"/>
        </w:rPr>
        <w:t xml:space="preserve">Gonzales Martinez &amp; Cooray (2025). Enhancing Poverty Targeting with Spatial Machine Learning. arXiv:2503.04300</w:t>
      </w:r>
    </w:p>
    <w:p>
      <w:pPr>
        <w:pStyle w:val="ListParagraph"/>
        <w:numPr>
          <w:ilvl w:val="0"/>
          <w:numId w:val="2"/>
        </w:numPr>
        <w:spacing w:after="80"/>
      </w:pPr>
      <w:r>
        <w:rPr>
          <w:rFonts w:ascii="Arial" w:cs="Arial" w:eastAsia="Arial" w:hAnsi="Arial"/>
          <w:sz w:val="22"/>
          <w:szCs w:val="22"/>
        </w:rPr>
        <w:t xml:space="preserve">Chen, T. &amp; Guestrin, C. (2016). XGBoost: A Scalable Tree Boosting System. arXiv:1603.02754</w:t>
      </w:r>
    </w:p>
    <w:p>
      <w:pPr>
        <w:pStyle w:val="ListParagraph"/>
        <w:numPr>
          <w:ilvl w:val="0"/>
          <w:numId w:val="2"/>
        </w:numPr>
        <w:spacing w:after="80"/>
      </w:pPr>
      <w:r>
        <w:rPr>
          <w:rFonts w:ascii="Arial" w:cs="Arial" w:eastAsia="Arial" w:hAnsi="Arial"/>
          <w:sz w:val="22"/>
          <w:szCs w:val="22"/>
        </w:rPr>
        <w:t xml:space="preserve">Lundberg, S.M. &amp; Lee, S.I. (2017). A Unified Approach to Interpreting Model Predictions (SHAP). NeurIPS. arXiv:1705.07874</w:t>
      </w:r>
    </w:p>
    <w:p>
      <w:pPr>
        <w:pStyle w:val="ListParagraph"/>
        <w:numPr>
          <w:ilvl w:val="0"/>
          <w:numId w:val="2"/>
        </w:numPr>
        <w:spacing w:after="80"/>
      </w:pPr>
      <w:r>
        <w:rPr>
          <w:rFonts w:ascii="Arial" w:cs="Arial" w:eastAsia="Arial" w:hAnsi="Arial"/>
          <w:sz w:val="22"/>
          <w:szCs w:val="22"/>
        </w:rPr>
        <w:t xml:space="preserve">Permensos No. 5 Tahun 2019 -- Bobot PMT konvensional DTKS</w:t>
      </w:r>
    </w:p>
    <w:p>
      <w:pPr>
        <w:pStyle w:val="ListParagraph"/>
        <w:numPr>
          <w:ilvl w:val="0"/>
          <w:numId w:val="2"/>
        </w:numPr>
        <w:spacing w:after="80"/>
      </w:pPr>
      <w:r>
        <w:rPr>
          <w:rFonts w:ascii="Arial" w:cs="Arial" w:eastAsia="Arial" w:hAnsi="Arial"/>
          <w:sz w:val="22"/>
          <w:szCs w:val="22"/>
        </w:rPr>
        <w:t xml:space="preserve">BPS. Susenas 2025 -- Pengeluaran untuk Konsumsi Penduduk Indonesia (Tabel II &amp; V)</w:t>
      </w:r>
    </w:p>
    <w:p>
      <w:pPr>
        <w:pStyle w:val="ListParagraph"/>
        <w:numPr>
          <w:ilvl w:val="0"/>
          <w:numId w:val="2"/>
        </w:numPr>
        <w:spacing w:after="80"/>
      </w:pPr>
      <w:r>
        <w:rPr>
          <w:rFonts w:ascii="Arial" w:cs="Arial" w:eastAsia="Arial" w:hAnsi="Arial"/>
          <w:sz w:val="22"/>
          <w:szCs w:val="22"/>
        </w:rPr>
        <w:t xml:space="preserve">DHS Program (2017). Indonesia Demographic and Health Survey 2017 (IDHS-VII). Rockville, MD: ICF</w:t>
      </w:r>
    </w:p>
    <w:p>
      <w:pPr>
        <w:pStyle w:val="ListParagraph"/>
        <w:numPr>
          <w:ilvl w:val="0"/>
          <w:numId w:val="2"/>
        </w:numPr>
        <w:spacing w:after="80"/>
      </w:pPr>
      <w:r>
        <w:rPr>
          <w:rFonts w:ascii="Arial" w:cs="Arial" w:eastAsia="Arial" w:hAnsi="Arial"/>
          <w:sz w:val="22"/>
          <w:szCs w:val="22"/>
        </w:rPr>
        <w:t xml:space="preserve">Katadata (2024). Bappenas: 46% Penerima Bansos Salah Sasaran karena Kesalahan Pendataan</w:t>
      </w:r>
    </w:p>
    <w:p>
      <w:pPr>
        <w:spacing w:after="200"/>
      </w:pPr>
    </w:p>
    <w:sectPr>
      <w:pgSz w:w="12240" w:h="158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497D"/>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2026-05-22T05:52:50.460Z</dcterms:created>
  <dcterms:modified xsi:type="dcterms:W3CDTF">2026-05-22T05:52:50.460Z</dcterms:modified>
</cp:coreProperties>
</file>

<file path=docProps/custom.xml><?xml version="1.0" encoding="utf-8"?>
<Properties xmlns="http://schemas.openxmlformats.org/officeDocument/2006/custom-properties" xmlns:vt="http://schemas.openxmlformats.org/officeDocument/2006/docPropsVTypes"/>
</file>