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left"/>
      </w:pPr>
      <w:r>
        <w:t>AP 9</w:t>
      </w:r>
    </w:p>
    <w:p>
      <w:pPr>
        <w:pStyle w:val="Title"/>
      </w:pPr>
      <w:r>
        <w:t>Manual funcional del sistema Carbon Twin</w:t>
      </w:r>
    </w:p>
    <w:p>
      <w:pPr>
        <w:spacing w:after="560"/>
      </w:pPr>
      <w:r>
        <w:rPr>
          <w:rFonts w:ascii="Aptos Display" w:hAnsi="Aptos Display"/>
          <w:b/>
          <w:color w:val="000000"/>
          <w:sz w:val="34"/>
        </w:rPr>
        <w:t>Análisis del coste de carbono de gemelos digitales agrícolas</w:t>
      </w:r>
    </w:p>
    <w:p>
      <w:r>
        <w:t>Este documento explica qué hace el sistema, cómo se relacionan sus componentes y cómo se utiliza para evaluar la huella ambiental de una explotación agrícola digitalizada. Su objetivo es servir como guía funcional y técnica para usuarios, docentes, evaluadores y desarrolladores.</w:t>
      </w:r>
    </w:p>
    <w:p>
      <w:r>
        <w:rPr>
          <w:b/>
        </w:rPr>
        <w:t>Conclusión principal:</w:t>
      </w:r>
      <w:r>
        <w:t xml:space="preserve"> Carbon Twin integra inventario tecnológico, evaluación de ciclo de vida, simulación de escenarios, visualización tridimensional, inteligencia artificial y aprendizaje automático en una aplicación web conectada a FastAPI y PostgreSQL.</w:t>
      </w:r>
    </w:p>
    <w:p>
      <w:pPr>
        <w:spacing w:after="1200"/>
      </w:pP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968"/>
            <w:shd w:fill="EAF3F7"/>
            <w:tcMar>
              <w:top w:w="130" w:type="dxa"/>
              <w:start w:w="150" w:type="dxa"/>
              <w:bottom w:w="130" w:type="dxa"/>
              <w:end w:w="150" w:type="dxa"/>
            </w:tcMar>
            <w:vAlign w:val="center"/>
          </w:tcPr>
          <w:p>
            <w:r>
              <w:rPr>
                <w:b/>
                <w:sz w:val="20"/>
              </w:rPr>
              <w:t>Tipo de documento</w:t>
            </w:r>
          </w:p>
        </w:tc>
        <w:tc>
          <w:tcPr>
            <w:tcW w:type="dxa" w:w="4968"/>
            <w:tcMar>
              <w:top w:w="130" w:type="dxa"/>
              <w:start w:w="150" w:type="dxa"/>
              <w:bottom w:w="130" w:type="dxa"/>
              <w:end w:w="150" w:type="dxa"/>
            </w:tcMar>
            <w:vAlign w:val="center"/>
          </w:tcPr>
          <w:p>
            <w:r>
              <w:rPr>
                <w:sz w:val="20"/>
              </w:rPr>
              <w:t>Manual funcional y técnico</w:t>
            </w:r>
          </w:p>
        </w:tc>
      </w:tr>
      <w:tr>
        <w:tc>
          <w:tcPr>
            <w:tcW w:type="dxa" w:w="4968"/>
            <w:shd w:fill="EAF3F7"/>
            <w:tcMar>
              <w:top w:w="130" w:type="dxa"/>
              <w:start w:w="150" w:type="dxa"/>
              <w:bottom w:w="130" w:type="dxa"/>
              <w:end w:w="150" w:type="dxa"/>
            </w:tcMar>
            <w:vAlign w:val="center"/>
          </w:tcPr>
          <w:p>
            <w:r>
              <w:rPr>
                <w:b/>
                <w:sz w:val="20"/>
              </w:rPr>
              <w:t>Sistema</w:t>
            </w:r>
          </w:p>
        </w:tc>
        <w:tc>
          <w:tcPr>
            <w:tcW w:type="dxa" w:w="4968"/>
            <w:tcMar>
              <w:top w:w="130" w:type="dxa"/>
              <w:start w:w="150" w:type="dxa"/>
              <w:bottom w:w="130" w:type="dxa"/>
              <w:end w:w="150" w:type="dxa"/>
            </w:tcMar>
            <w:vAlign w:val="center"/>
          </w:tcPr>
          <w:p>
            <w:r>
              <w:rPr>
                <w:sz w:val="20"/>
              </w:rPr>
              <w:t>AP 9 Carbon Twin</w:t>
            </w:r>
          </w:p>
        </w:tc>
      </w:tr>
      <w:tr>
        <w:tc>
          <w:tcPr>
            <w:tcW w:type="dxa" w:w="4968"/>
            <w:shd w:fill="EAF3F7"/>
            <w:tcMar>
              <w:top w:w="130" w:type="dxa"/>
              <w:start w:w="150" w:type="dxa"/>
              <w:bottom w:w="130" w:type="dxa"/>
              <w:end w:w="150" w:type="dxa"/>
            </w:tcMar>
            <w:vAlign w:val="center"/>
          </w:tcPr>
          <w:p>
            <w:r>
              <w:rPr>
                <w:b/>
                <w:sz w:val="20"/>
              </w:rPr>
              <w:t>Tecnologías</w:t>
            </w:r>
          </w:p>
        </w:tc>
        <w:tc>
          <w:tcPr>
            <w:tcW w:type="dxa" w:w="4968"/>
            <w:tcMar>
              <w:top w:w="130" w:type="dxa"/>
              <w:start w:w="150" w:type="dxa"/>
              <w:bottom w:w="130" w:type="dxa"/>
              <w:end w:w="150" w:type="dxa"/>
            </w:tcMar>
            <w:vAlign w:val="center"/>
          </w:tcPr>
          <w:p>
            <w:r>
              <w:rPr>
                <w:sz w:val="20"/>
              </w:rPr>
              <w:t>Next.js 15, React 19, FastAPI y PostgreSQL 18</w:t>
            </w:r>
          </w:p>
        </w:tc>
      </w:tr>
      <w:tr>
        <w:tc>
          <w:tcPr>
            <w:tcW w:type="dxa" w:w="4968"/>
            <w:shd w:fill="EAF3F7"/>
            <w:tcMar>
              <w:top w:w="130" w:type="dxa"/>
              <w:start w:w="150" w:type="dxa"/>
              <w:bottom w:w="130" w:type="dxa"/>
              <w:end w:w="150" w:type="dxa"/>
            </w:tcMar>
            <w:vAlign w:val="center"/>
          </w:tcPr>
          <w:p>
            <w:r>
              <w:rPr>
                <w:b/>
                <w:sz w:val="20"/>
              </w:rPr>
              <w:t>Fecha</w:t>
            </w:r>
          </w:p>
        </w:tc>
        <w:tc>
          <w:tcPr>
            <w:tcW w:type="dxa" w:w="4968"/>
            <w:tcMar>
              <w:top w:w="130" w:type="dxa"/>
              <w:start w:w="150" w:type="dxa"/>
              <w:bottom w:w="130" w:type="dxa"/>
              <w:end w:w="150" w:type="dxa"/>
            </w:tcMar>
            <w:vAlign w:val="center"/>
          </w:tcPr>
          <w:p>
            <w:r>
              <w:rPr>
                <w:sz w:val="20"/>
              </w:rPr>
              <w:t>Septiembre de 2026</w:t>
            </w:r>
          </w:p>
        </w:tc>
      </w:tr>
    </w:tbl>
    <w:p>
      <w:r>
        <w:br w:type="page"/>
      </w:r>
    </w:p>
    <w:p>
      <w:pPr>
        <w:pStyle w:val="Heading1"/>
      </w:pPr>
      <w:r>
        <w:t>Contenido</w:t>
      </w:r>
    </w:p>
    <w:p>
      <w:pPr>
        <w:spacing w:after="140"/>
        <w:ind w:left="288"/>
      </w:pPr>
      <w:r>
        <w:rPr>
          <w:b/>
          <w:sz w:val="22"/>
        </w:rPr>
        <w:t>1 Visión general del sistema</w:t>
      </w:r>
    </w:p>
    <w:p>
      <w:pPr>
        <w:spacing w:after="140"/>
        <w:ind w:left="288"/>
      </w:pPr>
      <w:r>
        <w:rPr>
          <w:b/>
          <w:sz w:val="22"/>
        </w:rPr>
        <w:t>2 Arquitectura y flujo de información</w:t>
      </w:r>
    </w:p>
    <w:p>
      <w:pPr>
        <w:spacing w:after="140"/>
        <w:ind w:left="288"/>
      </w:pPr>
      <w:r>
        <w:rPr>
          <w:b/>
          <w:sz w:val="22"/>
        </w:rPr>
        <w:t>3 Módulos funcionales</w:t>
      </w:r>
    </w:p>
    <w:p>
      <w:pPr>
        <w:spacing w:after="140"/>
        <w:ind w:left="288"/>
      </w:pPr>
      <w:r>
        <w:rPr>
          <w:b/>
          <w:sz w:val="22"/>
        </w:rPr>
        <w:t>4 Gemelos digitales agrícolas en 3D</w:t>
      </w:r>
    </w:p>
    <w:p>
      <w:pPr>
        <w:spacing w:after="140"/>
        <w:ind w:left="288"/>
      </w:pPr>
      <w:r>
        <w:rPr>
          <w:b/>
          <w:sz w:val="22"/>
        </w:rPr>
        <w:t>5 Metodología de cálculo de carbono</w:t>
      </w:r>
    </w:p>
    <w:p>
      <w:pPr>
        <w:spacing w:after="140"/>
        <w:ind w:left="288"/>
      </w:pPr>
      <w:r>
        <w:rPr>
          <w:b/>
          <w:sz w:val="22"/>
        </w:rPr>
        <w:t>6 Inteligencia artificial y aprendizaje automático</w:t>
      </w:r>
    </w:p>
    <w:p>
      <w:pPr>
        <w:spacing w:after="140"/>
        <w:ind w:left="288"/>
      </w:pPr>
      <w:r>
        <w:rPr>
          <w:b/>
          <w:sz w:val="22"/>
        </w:rPr>
        <w:t>7 Persistencia seguridad y trazabilidad</w:t>
      </w:r>
    </w:p>
    <w:p>
      <w:pPr>
        <w:spacing w:after="140"/>
        <w:ind w:left="288"/>
      </w:pPr>
      <w:r>
        <w:rPr>
          <w:b/>
          <w:sz w:val="22"/>
        </w:rPr>
        <w:t>8 Flujo de uso recomendado</w:t>
      </w:r>
    </w:p>
    <w:p>
      <w:pPr>
        <w:spacing w:after="140"/>
        <w:ind w:left="288"/>
      </w:pPr>
      <w:r>
        <w:rPr>
          <w:b/>
          <w:sz w:val="22"/>
        </w:rPr>
        <w:t>9 Puesta en marcha sin Docker</w:t>
      </w:r>
    </w:p>
    <w:p>
      <w:pPr>
        <w:spacing w:after="140"/>
        <w:ind w:left="288"/>
      </w:pPr>
      <w:r>
        <w:rPr>
          <w:b/>
          <w:sz w:val="22"/>
        </w:rPr>
        <w:t>10 Alcance actual y conclusiones</w:t>
      </w:r>
    </w:p>
    <w:p>
      <w:r>
        <w:br w:type="page"/>
      </w:r>
    </w:p>
    <w:p>
      <w:pPr>
        <w:pStyle w:val="Heading1"/>
      </w:pPr>
      <w:r>
        <w:t>1 Visión general del sistema</w:t>
      </w:r>
    </w:p>
    <w:p>
      <w:r>
        <w:t>Carbon Twin es una plataforma para estudiar el impacto ambiental asociado a la digitalización de cultivos. El sistema registra la infraestructura física y digital de un proyecto agrícola, estima las emisiones de gases de efecto invernadero durante su ciclo de vida y presenta los resultados mediante paneles, comparaciones y documentos exportables.</w:t>
      </w:r>
    </w:p>
    <w:p>
      <w:r>
        <w:t>La unidad central de resultados es el kilogramo de dióxido de carbono equivalente, abreviado como kg CO2e. Esta unidad permite expresar con una sola medida el efecto climático de diferentes gases y actividades.</w:t>
      </w:r>
    </w:p>
    <w:p>
      <w:pPr>
        <w:pStyle w:val="Heading2"/>
      </w:pPr>
      <w:r>
        <w:t>1.1 Problema que resuelve</w:t>
      </w:r>
    </w:p>
    <w:p>
      <w:r>
        <w:t>La agricultura de precisión emplea sensores, gateways, computación Edge, bases de datos, servicios Cloud y modelos digitales. Estas tecnologías mejoran la eficiencia productiva, pero también consumen energía y requieren fabricar, transportar, mantener y retirar equipos. Carbon Twin permite hacer visible ese coste ambiental y compararlo con alternativas tecnológicas.</w:t>
      </w:r>
    </w:p>
    <w:p>
      <w:pPr>
        <w:pStyle w:val="Heading2"/>
      </w:pPr>
      <w:r>
        <w:t>1.2 Capacidades principales</w:t>
      </w:r>
    </w:p>
    <w:p>
      <w:pPr>
        <w:pStyle w:val="ListBullet"/>
      </w:pPr>
      <w:r>
        <w:t>Administrar proyectos agrícolas y su periodo de evaluación.</w:t>
      </w:r>
    </w:p>
    <w:p>
      <w:pPr>
        <w:pStyle w:val="ListBullet"/>
      </w:pPr>
      <w:r>
        <w:t>Inventariar sensores IoT, dispositivos Edge y recursos Cloud.</w:t>
      </w:r>
    </w:p>
    <w:p>
      <w:pPr>
        <w:pStyle w:val="ListBullet"/>
      </w:pPr>
      <w:r>
        <w:t>Crear y configurar gemelos digitales vinculados a cada proyecto.</w:t>
      </w:r>
    </w:p>
    <w:p>
      <w:pPr>
        <w:pStyle w:val="ListBullet"/>
      </w:pPr>
      <w:r>
        <w:t>Calcular la huella por componente, categoría y etapa del ciclo de vida.</w:t>
      </w:r>
    </w:p>
    <w:p>
      <w:pPr>
        <w:pStyle w:val="ListBullet"/>
      </w:pPr>
      <w:r>
        <w:t>Comparar arquitecturas centralizadas, Edge e híbridas.</w:t>
      </w:r>
    </w:p>
    <w:p>
      <w:pPr>
        <w:pStyle w:val="ListBullet"/>
      </w:pPr>
      <w:r>
        <w:t>Visualizar el cultivo y la telemetría en un entorno tridimensional interactivo.</w:t>
      </w:r>
    </w:p>
    <w:p>
      <w:pPr>
        <w:pStyle w:val="ListBullet"/>
      </w:pPr>
      <w:r>
        <w:t>Generar recomendaciones mediante un asesor de inteligencia artificial.</w:t>
      </w:r>
    </w:p>
    <w:p>
      <w:pPr>
        <w:pStyle w:val="ListBullet"/>
      </w:pPr>
      <w:r>
        <w:t>Entrenar y evaluar modelos de aprendizaje automático para estimación de emisiones.</w:t>
      </w:r>
    </w:p>
    <w:p>
      <w:pPr>
        <w:pStyle w:val="ListBullet"/>
      </w:pPr>
      <w:r>
        <w:t>Exportar resultados a PDF, Word y Excel y conservar un registro de auditoría.</w:t>
      </w:r>
    </w:p>
    <w:p>
      <w:pPr>
        <w:pStyle w:val="Heading2"/>
      </w:pPr>
      <w:r>
        <w:t>1.3 Usuarios previstos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160"/>
            <w:shd w:fill="15324A"/>
            <w:tcMar>
              <w:top w:w="110" w:type="dxa"/>
              <w:start w:w="120" w:type="dxa"/>
              <w:bottom w:w="110" w:type="dxa"/>
              <w:end w:w="120" w:type="dxa"/>
            </w:tcMar>
            <w:vAlign w:val="center"/>
          </w:tcPr>
          <w:p>
            <w:pPr>
              <w:jc w:val="center"/>
            </w:pPr>
            <w:r>
              <w:rPr>
                <w:b/>
                <w:color w:val="FFFFFF"/>
                <w:sz w:val="18"/>
              </w:rPr>
              <w:t>Perfil</w:t>
            </w:r>
          </w:p>
        </w:tc>
        <w:tc>
          <w:tcPr>
            <w:tcW w:type="dxa" w:w="5328"/>
            <w:shd w:fill="15324A"/>
            <w:tcMar>
              <w:top w:w="110" w:type="dxa"/>
              <w:start w:w="120" w:type="dxa"/>
              <w:bottom w:w="110" w:type="dxa"/>
              <w:end w:w="120" w:type="dxa"/>
            </w:tcMar>
            <w:vAlign w:val="center"/>
          </w:tcPr>
          <w:p>
            <w:pPr>
              <w:jc w:val="center"/>
            </w:pPr>
            <w:r>
              <w:rPr>
                <w:b/>
                <w:color w:val="FFFFFF"/>
                <w:sz w:val="18"/>
              </w:rPr>
              <w:t>Uso principal</w:t>
            </w:r>
          </w:p>
        </w:tc>
        <w:tc>
          <w:tcPr>
            <w:tcW w:type="dxa" w:w="2160"/>
            <w:shd w:fill="15324A"/>
            <w:tcMar>
              <w:top w:w="110" w:type="dxa"/>
              <w:start w:w="120" w:type="dxa"/>
              <w:bottom w:w="110" w:type="dxa"/>
              <w:end w:w="120" w:type="dxa"/>
            </w:tcMar>
            <w:vAlign w:val="center"/>
          </w:tcPr>
          <w:p>
            <w:pPr>
              <w:jc w:val="center"/>
            </w:pPr>
            <w:r>
              <w:rPr>
                <w:b/>
                <w:color w:val="FFFFFF"/>
                <w:sz w:val="18"/>
              </w:rPr>
              <w:t>Nivel de acceso</w:t>
            </w:r>
          </w:p>
        </w:tc>
      </w:tr>
      <w:tr>
        <w:tc>
          <w:tcPr>
            <w:tcW w:type="dxa" w:w="2160"/>
            <w:tcMar>
              <w:top w:w="110" w:type="dxa"/>
              <w:start w:w="120" w:type="dxa"/>
              <w:bottom w:w="110" w:type="dxa"/>
              <w:end w:w="120" w:type="dxa"/>
            </w:tcMar>
            <w:vAlign w:val="center"/>
          </w:tcPr>
          <w:p>
            <w:pPr>
              <w:spacing w:after="0" w:line="252" w:lineRule="auto"/>
            </w:pPr>
            <w:r>
              <w:rPr>
                <w:sz w:val="18"/>
              </w:rPr>
              <w:t>Administrador</w:t>
            </w:r>
          </w:p>
        </w:tc>
        <w:tc>
          <w:tcPr>
            <w:tcW w:type="dxa" w:w="5328"/>
            <w:tcMar>
              <w:top w:w="110" w:type="dxa"/>
              <w:start w:w="120" w:type="dxa"/>
              <w:bottom w:w="110" w:type="dxa"/>
              <w:end w:w="120" w:type="dxa"/>
            </w:tcMar>
            <w:vAlign w:val="center"/>
          </w:tcPr>
          <w:p>
            <w:pPr>
              <w:spacing w:after="0" w:line="252" w:lineRule="auto"/>
            </w:pPr>
            <w:r>
              <w:rPr>
                <w:sz w:val="18"/>
              </w:rPr>
              <w:t>Configura inventarios, usuarios, escenarios y parámetros</w:t>
            </w:r>
          </w:p>
        </w:tc>
        <w:tc>
          <w:tcPr>
            <w:tcW w:type="dxa" w:w="2160"/>
            <w:tcMar>
              <w:top w:w="110" w:type="dxa"/>
              <w:start w:w="120" w:type="dxa"/>
              <w:bottom w:w="110" w:type="dxa"/>
              <w:end w:w="120" w:type="dxa"/>
            </w:tcMar>
            <w:vAlign w:val="center"/>
          </w:tcPr>
          <w:p>
            <w:pPr>
              <w:spacing w:after="0" w:line="252" w:lineRule="auto"/>
              <w:jc w:val="center"/>
            </w:pPr>
            <w:r>
              <w:rPr>
                <w:sz w:val="18"/>
              </w:rPr>
              <w:t>Completo</w:t>
            </w:r>
          </w:p>
        </w:tc>
      </w:tr>
      <w:tr>
        <w:tc>
          <w:tcPr>
            <w:tcW w:type="dxa" w:w="2160"/>
            <w:tcMar>
              <w:top w:w="110" w:type="dxa"/>
              <w:start w:w="120" w:type="dxa"/>
              <w:bottom w:w="110" w:type="dxa"/>
              <w:end w:w="120" w:type="dxa"/>
            </w:tcMar>
            <w:vAlign w:val="center"/>
            <w:shd w:fill="F5F8FA"/>
          </w:tcPr>
          <w:p>
            <w:pPr>
              <w:spacing w:after="0" w:line="252" w:lineRule="auto"/>
            </w:pPr>
            <w:r>
              <w:rPr>
                <w:sz w:val="18"/>
              </w:rPr>
              <w:t>Investigador o analista</w:t>
            </w:r>
          </w:p>
        </w:tc>
        <w:tc>
          <w:tcPr>
            <w:tcW w:type="dxa" w:w="5328"/>
            <w:tcMar>
              <w:top w:w="110" w:type="dxa"/>
              <w:start w:w="120" w:type="dxa"/>
              <w:bottom w:w="110" w:type="dxa"/>
              <w:end w:w="120" w:type="dxa"/>
            </w:tcMar>
            <w:vAlign w:val="center"/>
            <w:shd w:fill="F5F8FA"/>
          </w:tcPr>
          <w:p>
            <w:pPr>
              <w:spacing w:after="0" w:line="252" w:lineRule="auto"/>
            </w:pPr>
            <w:r>
              <w:rPr>
                <w:sz w:val="18"/>
              </w:rPr>
              <w:t>Evalúa resultados, ajusta modelos y genera informes</w:t>
            </w:r>
          </w:p>
        </w:tc>
        <w:tc>
          <w:tcPr>
            <w:tcW w:type="dxa" w:w="2160"/>
            <w:tcMar>
              <w:top w:w="110" w:type="dxa"/>
              <w:start w:w="120" w:type="dxa"/>
              <w:bottom w:w="110" w:type="dxa"/>
              <w:end w:w="120" w:type="dxa"/>
            </w:tcMar>
            <w:vAlign w:val="center"/>
            <w:shd w:fill="F5F8FA"/>
          </w:tcPr>
          <w:p>
            <w:pPr>
              <w:spacing w:after="0" w:line="252" w:lineRule="auto"/>
              <w:jc w:val="center"/>
            </w:pPr>
            <w:r>
              <w:rPr>
                <w:sz w:val="18"/>
              </w:rPr>
              <w:t>Edición analítica</w:t>
            </w:r>
          </w:p>
        </w:tc>
      </w:tr>
      <w:tr>
        <w:tc>
          <w:tcPr>
            <w:tcW w:type="dxa" w:w="2160"/>
            <w:tcMar>
              <w:top w:w="110" w:type="dxa"/>
              <w:start w:w="120" w:type="dxa"/>
              <w:bottom w:w="110" w:type="dxa"/>
              <w:end w:w="120" w:type="dxa"/>
            </w:tcMar>
            <w:vAlign w:val="center"/>
          </w:tcPr>
          <w:p>
            <w:pPr>
              <w:spacing w:after="0" w:line="252" w:lineRule="auto"/>
            </w:pPr>
            <w:r>
              <w:rPr>
                <w:sz w:val="18"/>
              </w:rPr>
              <w:t>Consulta</w:t>
            </w:r>
          </w:p>
        </w:tc>
        <w:tc>
          <w:tcPr>
            <w:tcW w:type="dxa" w:w="5328"/>
            <w:tcMar>
              <w:top w:w="110" w:type="dxa"/>
              <w:start w:w="120" w:type="dxa"/>
              <w:bottom w:w="110" w:type="dxa"/>
              <w:end w:w="120" w:type="dxa"/>
            </w:tcMar>
            <w:vAlign w:val="center"/>
          </w:tcPr>
          <w:p>
            <w:pPr>
              <w:spacing w:after="0" w:line="252" w:lineRule="auto"/>
            </w:pPr>
            <w:r>
              <w:rPr>
                <w:sz w:val="18"/>
              </w:rPr>
              <w:t>Revisa paneles, indicadores e informes</w:t>
            </w:r>
          </w:p>
        </w:tc>
        <w:tc>
          <w:tcPr>
            <w:tcW w:type="dxa" w:w="2160"/>
            <w:tcMar>
              <w:top w:w="110" w:type="dxa"/>
              <w:start w:w="120" w:type="dxa"/>
              <w:bottom w:w="110" w:type="dxa"/>
              <w:end w:w="120" w:type="dxa"/>
            </w:tcMar>
            <w:vAlign w:val="center"/>
          </w:tcPr>
          <w:p>
            <w:pPr>
              <w:spacing w:after="0" w:line="252" w:lineRule="auto"/>
              <w:jc w:val="center"/>
            </w:pPr>
            <w:r>
              <w:rPr>
                <w:sz w:val="18"/>
              </w:rPr>
              <w:t>Solo lectura</w:t>
            </w:r>
          </w:p>
        </w:tc>
      </w:tr>
    </w:tbl>
    <w:p>
      <w:pPr>
        <w:spacing w:after="0"/>
      </w:pPr>
    </w:p>
    <w:p>
      <w:r>
        <w:br w:type="page"/>
      </w:r>
    </w:p>
    <w:p>
      <w:pPr>
        <w:pStyle w:val="Heading1"/>
      </w:pPr>
      <w:r>
        <w:t>2 Arquitectura y flujo de información</w:t>
      </w:r>
    </w:p>
    <w:p>
      <w:r>
        <w:t>La solución utiliza una arquitectura de tres capas. El navegador presenta la interfaz y realiza los cálculos interactivos; FastAPI expone los servicios de persistencia, inteligencia artificial y aprendizaje automático; PostgreSQL conserva los recursos del sistema.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800"/>
            <w:shd w:fill="15324A"/>
            <w:tcMar>
              <w:top w:w="110" w:type="dxa"/>
              <w:start w:w="120" w:type="dxa"/>
              <w:bottom w:w="110" w:type="dxa"/>
              <w:end w:w="120" w:type="dxa"/>
            </w:tcMar>
            <w:vAlign w:val="center"/>
          </w:tcPr>
          <w:p>
            <w:pPr>
              <w:jc w:val="center"/>
            </w:pPr>
            <w:r>
              <w:rPr>
                <w:b/>
                <w:color w:val="FFFFFF"/>
                <w:sz w:val="18"/>
              </w:rPr>
              <w:t>Capa</w:t>
            </w:r>
          </w:p>
        </w:tc>
        <w:tc>
          <w:tcPr>
            <w:tcW w:type="dxa" w:w="3240"/>
            <w:shd w:fill="15324A"/>
            <w:tcMar>
              <w:top w:w="110" w:type="dxa"/>
              <w:start w:w="120" w:type="dxa"/>
              <w:bottom w:w="110" w:type="dxa"/>
              <w:end w:w="120" w:type="dxa"/>
            </w:tcMar>
            <w:vAlign w:val="center"/>
          </w:tcPr>
          <w:p>
            <w:pPr>
              <w:jc w:val="center"/>
            </w:pPr>
            <w:r>
              <w:rPr>
                <w:b/>
                <w:color w:val="FFFFFF"/>
                <w:sz w:val="18"/>
              </w:rPr>
              <w:t>Tecnología</w:t>
            </w:r>
          </w:p>
        </w:tc>
        <w:tc>
          <w:tcPr>
            <w:tcW w:type="dxa" w:w="4608"/>
            <w:shd w:fill="15324A"/>
            <w:tcMar>
              <w:top w:w="110" w:type="dxa"/>
              <w:start w:w="120" w:type="dxa"/>
              <w:bottom w:w="110" w:type="dxa"/>
              <w:end w:w="120" w:type="dxa"/>
            </w:tcMar>
            <w:vAlign w:val="center"/>
          </w:tcPr>
          <w:p>
            <w:pPr>
              <w:jc w:val="center"/>
            </w:pPr>
            <w:r>
              <w:rPr>
                <w:b/>
                <w:color w:val="FFFFFF"/>
                <w:sz w:val="18"/>
              </w:rPr>
              <w:t>Responsabilidad</w:t>
            </w:r>
          </w:p>
        </w:tc>
      </w:tr>
      <w:tr>
        <w:tc>
          <w:tcPr>
            <w:tcW w:type="dxa" w:w="1800"/>
            <w:tcMar>
              <w:top w:w="110" w:type="dxa"/>
              <w:start w:w="120" w:type="dxa"/>
              <w:bottom w:w="110" w:type="dxa"/>
              <w:end w:w="120" w:type="dxa"/>
            </w:tcMar>
            <w:vAlign w:val="center"/>
          </w:tcPr>
          <w:p>
            <w:pPr>
              <w:spacing w:after="0" w:line="252" w:lineRule="auto"/>
            </w:pPr>
            <w:r>
              <w:rPr>
                <w:sz w:val="18"/>
              </w:rPr>
              <w:t>Presentación</w:t>
            </w:r>
          </w:p>
        </w:tc>
        <w:tc>
          <w:tcPr>
            <w:tcW w:type="dxa" w:w="3240"/>
            <w:tcMar>
              <w:top w:w="110" w:type="dxa"/>
              <w:start w:w="120" w:type="dxa"/>
              <w:bottom w:w="110" w:type="dxa"/>
              <w:end w:w="120" w:type="dxa"/>
            </w:tcMar>
            <w:vAlign w:val="center"/>
          </w:tcPr>
          <w:p>
            <w:pPr>
              <w:spacing w:after="0" w:line="252" w:lineRule="auto"/>
            </w:pPr>
            <w:r>
              <w:rPr>
                <w:sz w:val="18"/>
              </w:rPr>
              <w:t>Next.js 15, React 19, TypeScript, Tailwind CSS</w:t>
            </w:r>
          </w:p>
        </w:tc>
        <w:tc>
          <w:tcPr>
            <w:tcW w:type="dxa" w:w="4608"/>
            <w:tcMar>
              <w:top w:w="110" w:type="dxa"/>
              <w:start w:w="120" w:type="dxa"/>
              <w:bottom w:w="110" w:type="dxa"/>
              <w:end w:w="120" w:type="dxa"/>
            </w:tcMar>
            <w:vAlign w:val="center"/>
          </w:tcPr>
          <w:p>
            <w:pPr>
              <w:spacing w:after="0" w:line="252" w:lineRule="auto"/>
            </w:pPr>
            <w:r>
              <w:rPr>
                <w:sz w:val="18"/>
              </w:rPr>
              <w:t>Navegación, formularios, paneles, gráficos y exportaciones</w:t>
            </w:r>
          </w:p>
        </w:tc>
      </w:tr>
      <w:tr>
        <w:tc>
          <w:tcPr>
            <w:tcW w:type="dxa" w:w="1800"/>
            <w:tcMar>
              <w:top w:w="110" w:type="dxa"/>
              <w:start w:w="120" w:type="dxa"/>
              <w:bottom w:w="110" w:type="dxa"/>
              <w:end w:w="120" w:type="dxa"/>
            </w:tcMar>
            <w:vAlign w:val="center"/>
            <w:shd w:fill="F5F8FA"/>
          </w:tcPr>
          <w:p>
            <w:pPr>
              <w:spacing w:after="0" w:line="252" w:lineRule="auto"/>
            </w:pPr>
            <w:r>
              <w:rPr>
                <w:sz w:val="18"/>
              </w:rPr>
              <w:t>Visualización</w:t>
            </w:r>
          </w:p>
        </w:tc>
        <w:tc>
          <w:tcPr>
            <w:tcW w:type="dxa" w:w="3240"/>
            <w:tcMar>
              <w:top w:w="110" w:type="dxa"/>
              <w:start w:w="120" w:type="dxa"/>
              <w:bottom w:w="110" w:type="dxa"/>
              <w:end w:w="120" w:type="dxa"/>
            </w:tcMar>
            <w:vAlign w:val="center"/>
            <w:shd w:fill="F5F8FA"/>
          </w:tcPr>
          <w:p>
            <w:pPr>
              <w:spacing w:after="0" w:line="252" w:lineRule="auto"/>
              <w:jc w:val="center"/>
            </w:pPr>
            <w:r>
              <w:rPr>
                <w:sz w:val="18"/>
              </w:rPr>
              <w:t>Three.js y Recharts</w:t>
            </w:r>
          </w:p>
        </w:tc>
        <w:tc>
          <w:tcPr>
            <w:tcW w:type="dxa" w:w="4608"/>
            <w:tcMar>
              <w:top w:w="110" w:type="dxa"/>
              <w:start w:w="120" w:type="dxa"/>
              <w:bottom w:w="110" w:type="dxa"/>
              <w:end w:w="120" w:type="dxa"/>
            </w:tcMar>
            <w:vAlign w:val="center"/>
            <w:shd w:fill="F5F8FA"/>
          </w:tcPr>
          <w:p>
            <w:pPr>
              <w:spacing w:after="0" w:line="252" w:lineRule="auto"/>
            </w:pPr>
            <w:r>
              <w:rPr>
                <w:sz w:val="18"/>
              </w:rPr>
              <w:t>Escena 3D del cultivo y gráficos de indicadores</w:t>
            </w:r>
          </w:p>
        </w:tc>
      </w:tr>
      <w:tr>
        <w:tc>
          <w:tcPr>
            <w:tcW w:type="dxa" w:w="1800"/>
            <w:tcMar>
              <w:top w:w="110" w:type="dxa"/>
              <w:start w:w="120" w:type="dxa"/>
              <w:bottom w:w="110" w:type="dxa"/>
              <w:end w:w="120" w:type="dxa"/>
            </w:tcMar>
            <w:vAlign w:val="center"/>
          </w:tcPr>
          <w:p>
            <w:pPr>
              <w:spacing w:after="0" w:line="252" w:lineRule="auto"/>
            </w:pPr>
            <w:r>
              <w:rPr>
                <w:sz w:val="18"/>
              </w:rPr>
              <w:t>Servicios</w:t>
            </w:r>
          </w:p>
        </w:tc>
        <w:tc>
          <w:tcPr>
            <w:tcW w:type="dxa" w:w="3240"/>
            <w:tcMar>
              <w:top w:w="110" w:type="dxa"/>
              <w:start w:w="120" w:type="dxa"/>
              <w:bottom w:w="110" w:type="dxa"/>
              <w:end w:w="120" w:type="dxa"/>
            </w:tcMar>
            <w:vAlign w:val="center"/>
          </w:tcPr>
          <w:p>
            <w:pPr>
              <w:spacing w:after="0" w:line="252" w:lineRule="auto"/>
            </w:pPr>
            <w:r>
              <w:rPr>
                <w:sz w:val="18"/>
              </w:rPr>
              <w:t>Python FastAPI y SQLAlchemy</w:t>
            </w:r>
          </w:p>
        </w:tc>
        <w:tc>
          <w:tcPr>
            <w:tcW w:type="dxa" w:w="4608"/>
            <w:tcMar>
              <w:top w:w="110" w:type="dxa"/>
              <w:start w:w="120" w:type="dxa"/>
              <w:bottom w:w="110" w:type="dxa"/>
              <w:end w:w="120" w:type="dxa"/>
            </w:tcMar>
            <w:vAlign w:val="center"/>
          </w:tcPr>
          <w:p>
            <w:pPr>
              <w:spacing w:after="0" w:line="252" w:lineRule="auto"/>
            </w:pPr>
            <w:r>
              <w:rPr>
                <w:sz w:val="18"/>
              </w:rPr>
              <w:t>API CRUD, asesor IA, entrenamiento ML y predicción</w:t>
            </w:r>
          </w:p>
        </w:tc>
      </w:tr>
      <w:tr>
        <w:tc>
          <w:tcPr>
            <w:tcW w:type="dxa" w:w="1800"/>
            <w:tcMar>
              <w:top w:w="110" w:type="dxa"/>
              <w:start w:w="120" w:type="dxa"/>
              <w:bottom w:w="110" w:type="dxa"/>
              <w:end w:w="120" w:type="dxa"/>
            </w:tcMar>
            <w:vAlign w:val="center"/>
            <w:shd w:fill="F5F8FA"/>
          </w:tcPr>
          <w:p>
            <w:pPr>
              <w:spacing w:after="0" w:line="252" w:lineRule="auto"/>
            </w:pPr>
            <w:r>
              <w:rPr>
                <w:sz w:val="18"/>
              </w:rPr>
              <w:t>Datos</w:t>
            </w:r>
          </w:p>
        </w:tc>
        <w:tc>
          <w:tcPr>
            <w:tcW w:type="dxa" w:w="3240"/>
            <w:tcMar>
              <w:top w:w="110" w:type="dxa"/>
              <w:start w:w="120" w:type="dxa"/>
              <w:bottom w:w="110" w:type="dxa"/>
              <w:end w:w="120" w:type="dxa"/>
            </w:tcMar>
            <w:vAlign w:val="center"/>
            <w:shd w:fill="F5F8FA"/>
          </w:tcPr>
          <w:p>
            <w:pPr>
              <w:spacing w:after="0" w:line="252" w:lineRule="auto"/>
              <w:jc w:val="center"/>
            </w:pPr>
            <w:r>
              <w:rPr>
                <w:sz w:val="18"/>
              </w:rPr>
              <w:t>PostgreSQL 18</w:t>
            </w:r>
          </w:p>
        </w:tc>
        <w:tc>
          <w:tcPr>
            <w:tcW w:type="dxa" w:w="4608"/>
            <w:tcMar>
              <w:top w:w="110" w:type="dxa"/>
              <w:start w:w="120" w:type="dxa"/>
              <w:bottom w:w="110" w:type="dxa"/>
              <w:end w:w="120" w:type="dxa"/>
            </w:tcMar>
            <w:vAlign w:val="center"/>
            <w:shd w:fill="F5F8FA"/>
          </w:tcPr>
          <w:p>
            <w:pPr>
              <w:spacing w:after="0" w:line="252" w:lineRule="auto"/>
            </w:pPr>
            <w:r>
              <w:rPr>
                <w:sz w:val="18"/>
              </w:rPr>
              <w:t>Persistencia de proyectos, inventarios, escenarios, usuarios y auditorías</w:t>
            </w:r>
          </w:p>
        </w:tc>
      </w:tr>
    </w:tbl>
    <w:p>
      <w:pPr>
        <w:spacing w:after="0"/>
      </w:pPr>
    </w:p>
    <w:p>
      <w:pPr>
        <w:pStyle w:val="Heading2"/>
      </w:pPr>
      <w:r>
        <w:t>2.1 Flujo principal</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88"/>
            <w:tcMar>
              <w:top w:w="25" w:type="dxa"/>
              <w:start w:w="0" w:type="dxa"/>
              <w:bottom w:w="45" w:type="dxa"/>
              <w:end w:w="45" w:type="dxa"/>
            </w:tcMar>
          </w:tcPr>
          <w:p>
            <w:pPr>
              <w:spacing w:after="0" w:line="259" w:lineRule="auto"/>
              <w:jc w:val="right"/>
            </w:pPr>
            <w:r>
              <w:rPr>
                <w:b/>
              </w:rPr>
              <w:t>1.</w:t>
            </w:r>
          </w:p>
        </w:tc>
        <w:tc>
          <w:tcPr>
            <w:tcW w:type="dxa" w:w="9432"/>
            <w:tcMar>
              <w:top w:w="25" w:type="dxa"/>
              <w:start w:w="0" w:type="dxa"/>
              <w:bottom w:w="45" w:type="dxa"/>
              <w:end w:w="0" w:type="dxa"/>
            </w:tcMar>
          </w:tcPr>
          <w:p>
            <w:pPr>
              <w:spacing w:after="0" w:line="259" w:lineRule="auto"/>
            </w:pPr>
            <w:r>
              <w:t>El usuario selecciona un proyecto agrícola en la cabecera.</w:t>
            </w:r>
            <w:r>
              <w:br/>
            </w:r>
          </w:p>
        </w:tc>
      </w:tr>
      <w:tr>
        <w:tc>
          <w:tcPr>
            <w:tcW w:type="dxa" w:w="288"/>
            <w:tcMar>
              <w:top w:w="25" w:type="dxa"/>
              <w:start w:w="0" w:type="dxa"/>
              <w:bottom w:w="45" w:type="dxa"/>
              <w:end w:w="45" w:type="dxa"/>
            </w:tcMar>
          </w:tcPr>
          <w:p>
            <w:pPr>
              <w:spacing w:after="0" w:line="259" w:lineRule="auto"/>
              <w:jc w:val="right"/>
            </w:pPr>
            <w:r>
              <w:rPr>
                <w:b/>
              </w:rPr>
              <w:t>2.</w:t>
            </w:r>
          </w:p>
        </w:tc>
        <w:tc>
          <w:tcPr>
            <w:tcW w:type="dxa" w:w="9432"/>
            <w:tcMar>
              <w:top w:w="25" w:type="dxa"/>
              <w:start w:w="0" w:type="dxa"/>
              <w:bottom w:w="45" w:type="dxa"/>
              <w:end w:w="0" w:type="dxa"/>
            </w:tcMar>
          </w:tcPr>
          <w:p>
            <w:pPr>
              <w:spacing w:after="0" w:line="259" w:lineRule="auto"/>
            </w:pPr>
            <w:r>
              <w:t>La aplicación obtiene de PostgreSQL el inventario asociado mediante FastAPI.</w:t>
            </w:r>
            <w:r>
              <w:br/>
            </w:r>
          </w:p>
        </w:tc>
      </w:tr>
      <w:tr>
        <w:tc>
          <w:tcPr>
            <w:tcW w:type="dxa" w:w="288"/>
            <w:tcMar>
              <w:top w:w="25" w:type="dxa"/>
              <w:start w:w="0" w:type="dxa"/>
              <w:bottom w:w="45" w:type="dxa"/>
              <w:end w:w="45" w:type="dxa"/>
            </w:tcMar>
          </w:tcPr>
          <w:p>
            <w:pPr>
              <w:spacing w:after="0" w:line="259" w:lineRule="auto"/>
              <w:jc w:val="right"/>
            </w:pPr>
            <w:r>
              <w:rPr>
                <w:b/>
              </w:rPr>
              <w:t>3.</w:t>
            </w:r>
          </w:p>
        </w:tc>
        <w:tc>
          <w:tcPr>
            <w:tcW w:type="dxa" w:w="9432"/>
            <w:tcMar>
              <w:top w:w="25" w:type="dxa"/>
              <w:start w:w="0" w:type="dxa"/>
              <w:bottom w:w="45" w:type="dxa"/>
              <w:end w:w="0" w:type="dxa"/>
            </w:tcMar>
          </w:tcPr>
          <w:p>
            <w:pPr>
              <w:spacing w:after="0" w:line="259" w:lineRule="auto"/>
            </w:pPr>
            <w:r>
              <w:t>El motor LCA combina cantidades, consumos, horas de operación y factores de emisión.</w:t>
            </w:r>
            <w:r>
              <w:br/>
            </w:r>
          </w:p>
        </w:tc>
      </w:tr>
      <w:tr>
        <w:tc>
          <w:tcPr>
            <w:tcW w:type="dxa" w:w="288"/>
            <w:tcMar>
              <w:top w:w="25" w:type="dxa"/>
              <w:start w:w="0" w:type="dxa"/>
              <w:bottom w:w="45" w:type="dxa"/>
              <w:end w:w="45" w:type="dxa"/>
            </w:tcMar>
          </w:tcPr>
          <w:p>
            <w:pPr>
              <w:spacing w:after="0" w:line="259" w:lineRule="auto"/>
              <w:jc w:val="right"/>
            </w:pPr>
            <w:r>
              <w:rPr>
                <w:b/>
              </w:rPr>
              <w:t>4.</w:t>
            </w:r>
          </w:p>
        </w:tc>
        <w:tc>
          <w:tcPr>
            <w:tcW w:type="dxa" w:w="9432"/>
            <w:tcMar>
              <w:top w:w="25" w:type="dxa"/>
              <w:start w:w="0" w:type="dxa"/>
              <w:bottom w:w="45" w:type="dxa"/>
              <w:end w:w="0" w:type="dxa"/>
            </w:tcMar>
          </w:tcPr>
          <w:p>
            <w:pPr>
              <w:spacing w:after="0" w:line="259" w:lineRule="auto"/>
            </w:pPr>
            <w:r>
              <w:t>El dashboard muestra totales, distribución tecnológica, etapas y evolución temporal.</w:t>
            </w:r>
            <w:r>
              <w:br/>
            </w:r>
          </w:p>
        </w:tc>
      </w:tr>
      <w:tr>
        <w:tc>
          <w:tcPr>
            <w:tcW w:type="dxa" w:w="288"/>
            <w:tcMar>
              <w:top w:w="25" w:type="dxa"/>
              <w:start w:w="0" w:type="dxa"/>
              <w:bottom w:w="45" w:type="dxa"/>
              <w:end w:w="45" w:type="dxa"/>
            </w:tcMar>
          </w:tcPr>
          <w:p>
            <w:pPr>
              <w:spacing w:after="0" w:line="259" w:lineRule="auto"/>
              <w:jc w:val="right"/>
            </w:pPr>
            <w:r>
              <w:rPr>
                <w:b/>
              </w:rPr>
              <w:t>5.</w:t>
            </w:r>
          </w:p>
        </w:tc>
        <w:tc>
          <w:tcPr>
            <w:tcW w:type="dxa" w:w="9432"/>
            <w:tcMar>
              <w:top w:w="25" w:type="dxa"/>
              <w:start w:w="0" w:type="dxa"/>
              <w:bottom w:w="45" w:type="dxa"/>
              <w:end w:w="0" w:type="dxa"/>
            </w:tcMar>
          </w:tcPr>
          <w:p>
            <w:pPr>
              <w:spacing w:after="0" w:line="259" w:lineRule="auto"/>
            </w:pPr>
            <w:r>
              <w:t>Los módulos de escenarios, IA y ML utilizan el mismo contexto para analizar alternativas.</w:t>
            </w:r>
            <w:r>
              <w:br/>
            </w:r>
          </w:p>
        </w:tc>
      </w:tr>
      <w:tr>
        <w:tc>
          <w:tcPr>
            <w:tcW w:type="dxa" w:w="288"/>
            <w:tcMar>
              <w:top w:w="25" w:type="dxa"/>
              <w:start w:w="0" w:type="dxa"/>
              <w:bottom w:w="45" w:type="dxa"/>
              <w:end w:w="45" w:type="dxa"/>
            </w:tcMar>
          </w:tcPr>
          <w:p>
            <w:pPr>
              <w:spacing w:after="0" w:line="259" w:lineRule="auto"/>
              <w:jc w:val="right"/>
            </w:pPr>
            <w:r>
              <w:rPr>
                <w:b/>
              </w:rPr>
              <w:t>6.</w:t>
            </w:r>
          </w:p>
        </w:tc>
        <w:tc>
          <w:tcPr>
            <w:tcW w:type="dxa" w:w="9432"/>
            <w:tcMar>
              <w:top w:w="25" w:type="dxa"/>
              <w:start w:w="0" w:type="dxa"/>
              <w:bottom w:w="45" w:type="dxa"/>
              <w:end w:w="0" w:type="dxa"/>
            </w:tcMar>
          </w:tcPr>
          <w:p>
            <w:pPr>
              <w:spacing w:after="0" w:line="259" w:lineRule="auto"/>
            </w:pPr>
            <w:r>
              <w:t>Las exportaciones convierten los resultados en documentos aptos para revisión y auditoría.</w:t>
            </w:r>
            <w:r>
              <w:br/>
            </w:r>
          </w:p>
        </w:tc>
      </w:tr>
    </w:tbl>
    <w:p>
      <w:pPr>
        <w:spacing w:after="0"/>
      </w:pPr>
    </w:p>
    <w:p>
      <w:pPr>
        <w:pStyle w:val="Heading2"/>
      </w:pPr>
      <w:r>
        <w:t>2.2 Continuidad sin conexión temporal</w:t>
      </w:r>
    </w:p>
    <w:p>
      <w:pPr>
        <w:spacing w:after="0" w:line="20" w:lineRule="exact"/>
      </w:pPr>
    </w:p>
    <w:p>
      <w:r>
        <w:t>El navegador mantiene una copia de trabajo en almacenamiento local. Al recuperar la conexión, la aplicación fusiona los registros locales y remotos por identificador y completa en PostgreSQL los elementos ausentes sin eliminar los ya guardados. Esta estrategia evita que una carga remota parcial reduzca el inventario visible.</w:t>
      </w:r>
    </w:p>
    <w:p>
      <w:r>
        <w:br w:type="page"/>
      </w:r>
    </w:p>
    <w:p>
      <w:pPr>
        <w:pStyle w:val="Heading1"/>
      </w:pPr>
      <w:r>
        <w:t>3 Módulos funcionales</w:t>
      </w:r>
    </w:p>
    <w:p>
      <w:r>
        <w:t>La interfaz organiza las funciones en gestión, infraestructura, cálculo, sostenibilidad y gobierno del sistema. La siguiente matriz resume el propósito de cada módulo.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592"/>
            <w:shd w:fill="15324A"/>
            <w:tcMar>
              <w:top w:w="110" w:type="dxa"/>
              <w:start w:w="120" w:type="dxa"/>
              <w:bottom w:w="110" w:type="dxa"/>
              <w:end w:w="120" w:type="dxa"/>
            </w:tcMar>
            <w:vAlign w:val="center"/>
          </w:tcPr>
          <w:p>
            <w:pPr>
              <w:jc w:val="center"/>
            </w:pPr>
            <w:r>
              <w:rPr>
                <w:b/>
                <w:color w:val="FFFFFF"/>
                <w:sz w:val="18"/>
              </w:rPr>
              <w:t>Módulo</w:t>
            </w:r>
          </w:p>
        </w:tc>
        <w:tc>
          <w:tcPr>
            <w:tcW w:type="dxa" w:w="7200"/>
            <w:shd w:fill="15324A"/>
            <w:tcMar>
              <w:top w:w="110" w:type="dxa"/>
              <w:start w:w="120" w:type="dxa"/>
              <w:bottom w:w="110" w:type="dxa"/>
              <w:end w:w="120" w:type="dxa"/>
            </w:tcMar>
            <w:vAlign w:val="center"/>
          </w:tcPr>
          <w:p>
            <w:pPr>
              <w:jc w:val="center"/>
            </w:pPr>
            <w:r>
              <w:rPr>
                <w:b/>
                <w:color w:val="FFFFFF"/>
                <w:sz w:val="18"/>
              </w:rPr>
              <w:t>Función</w:t>
            </w:r>
          </w:p>
        </w:tc>
      </w:tr>
      <w:tr>
        <w:tc>
          <w:tcPr>
            <w:tcW w:type="dxa" w:w="2592"/>
            <w:tcMar>
              <w:top w:w="110" w:type="dxa"/>
              <w:start w:w="120" w:type="dxa"/>
              <w:bottom w:w="110" w:type="dxa"/>
              <w:end w:w="120" w:type="dxa"/>
            </w:tcMar>
            <w:vAlign w:val="center"/>
          </w:tcPr>
          <w:p>
            <w:pPr>
              <w:spacing w:after="0" w:line="252" w:lineRule="auto"/>
            </w:pPr>
            <w:r>
              <w:rPr>
                <w:sz w:val="18"/>
              </w:rPr>
              <w:t>Dashboard principal</w:t>
            </w:r>
          </w:p>
        </w:tc>
        <w:tc>
          <w:tcPr>
            <w:tcW w:type="dxa" w:w="7200"/>
            <w:tcMar>
              <w:top w:w="110" w:type="dxa"/>
              <w:start w:w="120" w:type="dxa"/>
              <w:bottom w:w="110" w:type="dxa"/>
              <w:end w:w="120" w:type="dxa"/>
            </w:tcMar>
            <w:vAlign w:val="center"/>
          </w:tcPr>
          <w:p>
            <w:pPr>
              <w:spacing w:after="0" w:line="252" w:lineRule="auto"/>
            </w:pPr>
            <w:r>
              <w:rPr>
                <w:sz w:val="18"/>
              </w:rPr>
              <w:t>Resume huella total, energía, infraestructura, categorías, etapas y escenarios.</w:t>
            </w:r>
          </w:p>
        </w:tc>
      </w:tr>
      <w:tr>
        <w:tc>
          <w:tcPr>
            <w:tcW w:type="dxa" w:w="2592"/>
            <w:tcMar>
              <w:top w:w="110" w:type="dxa"/>
              <w:start w:w="120" w:type="dxa"/>
              <w:bottom w:w="110" w:type="dxa"/>
              <w:end w:w="120" w:type="dxa"/>
            </w:tcMar>
            <w:vAlign w:val="center"/>
            <w:shd w:fill="F5F8FA"/>
          </w:tcPr>
          <w:p>
            <w:pPr>
              <w:spacing w:after="0" w:line="252" w:lineRule="auto"/>
            </w:pPr>
            <w:r>
              <w:rPr>
                <w:sz w:val="18"/>
              </w:rPr>
              <w:t>Proyectos agrícolas</w:t>
            </w:r>
          </w:p>
        </w:tc>
        <w:tc>
          <w:tcPr>
            <w:tcW w:type="dxa" w:w="7200"/>
            <w:tcMar>
              <w:top w:w="110" w:type="dxa"/>
              <w:start w:w="120" w:type="dxa"/>
              <w:bottom w:w="110" w:type="dxa"/>
              <w:end w:w="120" w:type="dxa"/>
            </w:tcMar>
            <w:vAlign w:val="center"/>
            <w:shd w:fill="F5F8FA"/>
          </w:tcPr>
          <w:p>
            <w:pPr>
              <w:spacing w:after="0" w:line="252" w:lineRule="auto"/>
            </w:pPr>
            <w:r>
              <w:rPr>
                <w:sz w:val="18"/>
              </w:rPr>
              <w:t>Crea y edita explotaciones, superficie, cultivo, ubicación y horizonte de análisis.</w:t>
            </w:r>
          </w:p>
        </w:tc>
      </w:tr>
      <w:tr>
        <w:tc>
          <w:tcPr>
            <w:tcW w:type="dxa" w:w="2592"/>
            <w:tcMar>
              <w:top w:w="110" w:type="dxa"/>
              <w:start w:w="120" w:type="dxa"/>
              <w:bottom w:w="110" w:type="dxa"/>
              <w:end w:w="120" w:type="dxa"/>
            </w:tcMar>
            <w:vAlign w:val="center"/>
          </w:tcPr>
          <w:p>
            <w:pPr>
              <w:spacing w:after="0" w:line="252" w:lineRule="auto"/>
            </w:pPr>
            <w:r>
              <w:rPr>
                <w:sz w:val="18"/>
              </w:rPr>
              <w:t>Sensores IoT</w:t>
            </w:r>
          </w:p>
        </w:tc>
        <w:tc>
          <w:tcPr>
            <w:tcW w:type="dxa" w:w="7200"/>
            <w:tcMar>
              <w:top w:w="110" w:type="dxa"/>
              <w:start w:w="120" w:type="dxa"/>
              <w:bottom w:w="110" w:type="dxa"/>
              <w:end w:w="120" w:type="dxa"/>
            </w:tcMar>
            <w:vAlign w:val="center"/>
          </w:tcPr>
          <w:p>
            <w:pPr>
              <w:spacing w:after="0" w:line="252" w:lineRule="auto"/>
            </w:pPr>
            <w:r>
              <w:rPr>
                <w:sz w:val="18"/>
              </w:rPr>
              <w:t>Registra tipos, cantidades, potencia, materiales, comunicaciones y vida útil.</w:t>
            </w:r>
          </w:p>
        </w:tc>
      </w:tr>
      <w:tr>
        <w:tc>
          <w:tcPr>
            <w:tcW w:type="dxa" w:w="2592"/>
            <w:tcMar>
              <w:top w:w="110" w:type="dxa"/>
              <w:start w:w="120" w:type="dxa"/>
              <w:bottom w:w="110" w:type="dxa"/>
              <w:end w:w="120" w:type="dxa"/>
            </w:tcMar>
            <w:vAlign w:val="center"/>
            <w:shd w:fill="F5F8FA"/>
          </w:tcPr>
          <w:p>
            <w:pPr>
              <w:spacing w:after="0" w:line="252" w:lineRule="auto"/>
            </w:pPr>
            <w:r>
              <w:rPr>
                <w:sz w:val="18"/>
              </w:rPr>
              <w:t>Infraestructura Edge</w:t>
            </w:r>
          </w:p>
        </w:tc>
        <w:tc>
          <w:tcPr>
            <w:tcW w:type="dxa" w:w="7200"/>
            <w:tcMar>
              <w:top w:w="110" w:type="dxa"/>
              <w:start w:w="120" w:type="dxa"/>
              <w:bottom w:w="110" w:type="dxa"/>
              <w:end w:w="120" w:type="dxa"/>
            </w:tcMar>
            <w:vAlign w:val="center"/>
            <w:shd w:fill="F5F8FA"/>
          </w:tcPr>
          <w:p>
            <w:pPr>
              <w:spacing w:after="0" w:line="252" w:lineRule="auto"/>
            </w:pPr>
            <w:r>
              <w:rPr>
                <w:sz w:val="18"/>
              </w:rPr>
              <w:t>Gestiona gateways y nodos de procesamiento en campo, incluida alimentación solar.</w:t>
            </w:r>
          </w:p>
        </w:tc>
      </w:tr>
      <w:tr>
        <w:tc>
          <w:tcPr>
            <w:tcW w:type="dxa" w:w="2592"/>
            <w:tcMar>
              <w:top w:w="110" w:type="dxa"/>
              <w:start w:w="120" w:type="dxa"/>
              <w:bottom w:w="110" w:type="dxa"/>
              <w:end w:w="120" w:type="dxa"/>
            </w:tcMar>
            <w:vAlign w:val="center"/>
          </w:tcPr>
          <w:p>
            <w:pPr>
              <w:spacing w:after="0" w:line="252" w:lineRule="auto"/>
            </w:pPr>
            <w:r>
              <w:rPr>
                <w:sz w:val="18"/>
              </w:rPr>
              <w:t>Recursos Cloud y BD</w:t>
            </w:r>
          </w:p>
        </w:tc>
        <w:tc>
          <w:tcPr>
            <w:tcW w:type="dxa" w:w="7200"/>
            <w:tcMar>
              <w:top w:w="110" w:type="dxa"/>
              <w:start w:w="120" w:type="dxa"/>
              <w:bottom w:w="110" w:type="dxa"/>
              <w:end w:w="120" w:type="dxa"/>
            </w:tcMar>
            <w:vAlign w:val="center"/>
          </w:tcPr>
          <w:p>
            <w:pPr>
              <w:spacing w:after="0" w:line="252" w:lineRule="auto"/>
            </w:pPr>
            <w:r>
              <w:rPr>
                <w:sz w:val="18"/>
              </w:rPr>
              <w:t>Modela cómputo, almacenamiento, región, PUE, energía renovable y factor eléctrico.</w:t>
            </w:r>
          </w:p>
        </w:tc>
      </w:tr>
      <w:tr>
        <w:tc>
          <w:tcPr>
            <w:tcW w:type="dxa" w:w="2592"/>
            <w:tcMar>
              <w:top w:w="110" w:type="dxa"/>
              <w:start w:w="120" w:type="dxa"/>
              <w:bottom w:w="110" w:type="dxa"/>
              <w:end w:w="120" w:type="dxa"/>
            </w:tcMar>
            <w:vAlign w:val="center"/>
            <w:shd w:fill="F5F8FA"/>
          </w:tcPr>
          <w:p>
            <w:pPr>
              <w:spacing w:after="0" w:line="252" w:lineRule="auto"/>
            </w:pPr>
            <w:r>
              <w:rPr>
                <w:sz w:val="18"/>
              </w:rPr>
              <w:t>Gemelos digitales</w:t>
            </w:r>
          </w:p>
        </w:tc>
        <w:tc>
          <w:tcPr>
            <w:tcW w:type="dxa" w:w="7200"/>
            <w:tcMar>
              <w:top w:w="110" w:type="dxa"/>
              <w:start w:w="120" w:type="dxa"/>
              <w:bottom w:w="110" w:type="dxa"/>
              <w:end w:w="120" w:type="dxa"/>
            </w:tcMar>
            <w:vAlign w:val="center"/>
            <w:shd w:fill="F5F8FA"/>
          </w:tcPr>
          <w:p>
            <w:pPr>
              <w:spacing w:after="0" w:line="252" w:lineRule="auto"/>
            </w:pPr>
            <w:r>
              <w:rPr>
                <w:sz w:val="18"/>
              </w:rPr>
              <w:t>Define modelos, frecuencia de actualización, volumen de datos y horas de ejecución.</w:t>
            </w:r>
          </w:p>
        </w:tc>
      </w:tr>
      <w:tr>
        <w:tc>
          <w:tcPr>
            <w:tcW w:type="dxa" w:w="2592"/>
            <w:tcMar>
              <w:top w:w="110" w:type="dxa"/>
              <w:start w:w="120" w:type="dxa"/>
              <w:bottom w:w="110" w:type="dxa"/>
              <w:end w:w="120" w:type="dxa"/>
            </w:tcMar>
            <w:vAlign w:val="center"/>
          </w:tcPr>
          <w:p>
            <w:pPr>
              <w:spacing w:after="0" w:line="252" w:lineRule="auto"/>
            </w:pPr>
            <w:r>
              <w:rPr>
                <w:sz w:val="18"/>
              </w:rPr>
              <w:t>Ciclo de vida</w:t>
            </w:r>
          </w:p>
        </w:tc>
        <w:tc>
          <w:tcPr>
            <w:tcW w:type="dxa" w:w="7200"/>
            <w:tcMar>
              <w:top w:w="110" w:type="dxa"/>
              <w:start w:w="120" w:type="dxa"/>
              <w:bottom w:w="110" w:type="dxa"/>
              <w:end w:w="120" w:type="dxa"/>
            </w:tcMar>
            <w:vAlign w:val="center"/>
          </w:tcPr>
          <w:p>
            <w:pPr>
              <w:spacing w:after="0" w:line="252" w:lineRule="auto"/>
            </w:pPr>
            <w:r>
              <w:rPr>
                <w:sz w:val="18"/>
              </w:rPr>
              <w:t>Presenta emisiones por fabricación, transporte, instalación, operación, mantenimiento y fin de vida.</w:t>
            </w:r>
          </w:p>
        </w:tc>
      </w:tr>
      <w:tr>
        <w:tc>
          <w:tcPr>
            <w:tcW w:type="dxa" w:w="2592"/>
            <w:tcMar>
              <w:top w:w="110" w:type="dxa"/>
              <w:start w:w="120" w:type="dxa"/>
              <w:bottom w:w="110" w:type="dxa"/>
              <w:end w:w="120" w:type="dxa"/>
            </w:tcMar>
            <w:vAlign w:val="center"/>
            <w:shd w:fill="F5F8FA"/>
          </w:tcPr>
          <w:p>
            <w:pPr>
              <w:spacing w:after="0" w:line="252" w:lineRule="auto"/>
            </w:pPr>
            <w:r>
              <w:rPr>
                <w:sz w:val="18"/>
              </w:rPr>
              <w:t>Factores de emisión</w:t>
            </w:r>
          </w:p>
        </w:tc>
        <w:tc>
          <w:tcPr>
            <w:tcW w:type="dxa" w:w="7200"/>
            <w:tcMar>
              <w:top w:w="110" w:type="dxa"/>
              <w:start w:w="120" w:type="dxa"/>
              <w:bottom w:w="110" w:type="dxa"/>
              <w:end w:w="120" w:type="dxa"/>
            </w:tcMar>
            <w:vAlign w:val="center"/>
            <w:shd w:fill="F5F8FA"/>
          </w:tcPr>
          <w:p>
            <w:pPr>
              <w:spacing w:after="0" w:line="252" w:lineRule="auto"/>
            </w:pPr>
            <w:r>
              <w:rPr>
                <w:sz w:val="18"/>
              </w:rPr>
              <w:t>Administra factores técnicos, unidades, fuentes y valores predeterminados.</w:t>
            </w:r>
          </w:p>
        </w:tc>
      </w:tr>
      <w:tr>
        <w:tc>
          <w:tcPr>
            <w:tcW w:type="dxa" w:w="2592"/>
            <w:tcMar>
              <w:top w:w="110" w:type="dxa"/>
              <w:start w:w="120" w:type="dxa"/>
              <w:bottom w:w="110" w:type="dxa"/>
              <w:end w:w="120" w:type="dxa"/>
            </w:tcMar>
            <w:vAlign w:val="center"/>
          </w:tcPr>
          <w:p>
            <w:pPr>
              <w:spacing w:after="0" w:line="252" w:lineRule="auto"/>
            </w:pPr>
            <w:r>
              <w:rPr>
                <w:sz w:val="18"/>
              </w:rPr>
              <w:t>Comparar escenarios</w:t>
            </w:r>
          </w:p>
        </w:tc>
        <w:tc>
          <w:tcPr>
            <w:tcW w:type="dxa" w:w="7200"/>
            <w:tcMar>
              <w:top w:w="110" w:type="dxa"/>
              <w:start w:w="120" w:type="dxa"/>
              <w:bottom w:w="110" w:type="dxa"/>
              <w:end w:w="120" w:type="dxa"/>
            </w:tcMar>
            <w:vAlign w:val="center"/>
          </w:tcPr>
          <w:p>
            <w:pPr>
              <w:spacing w:after="0" w:line="252" w:lineRule="auto"/>
            </w:pPr>
            <w:r>
              <w:rPr>
                <w:sz w:val="18"/>
              </w:rPr>
              <w:t>Contrasta arquitectura Cloud, Edge e híbrida en carbono, energía, coste y latencia.</w:t>
            </w:r>
          </w:p>
        </w:tc>
      </w:tr>
      <w:tr>
        <w:tc>
          <w:tcPr>
            <w:tcW w:type="dxa" w:w="2592"/>
            <w:tcMar>
              <w:top w:w="110" w:type="dxa"/>
              <w:start w:w="120" w:type="dxa"/>
              <w:bottom w:w="110" w:type="dxa"/>
              <w:end w:w="120" w:type="dxa"/>
            </w:tcMar>
            <w:vAlign w:val="center"/>
            <w:shd w:fill="F5F8FA"/>
          </w:tcPr>
          <w:p>
            <w:pPr>
              <w:spacing w:after="0" w:line="252" w:lineRule="auto"/>
            </w:pPr>
            <w:r>
              <w:rPr>
                <w:sz w:val="18"/>
              </w:rPr>
              <w:t>Informes</w:t>
            </w:r>
          </w:p>
        </w:tc>
        <w:tc>
          <w:tcPr>
            <w:tcW w:type="dxa" w:w="7200"/>
            <w:tcMar>
              <w:top w:w="110" w:type="dxa"/>
              <w:start w:w="120" w:type="dxa"/>
              <w:bottom w:w="110" w:type="dxa"/>
              <w:end w:w="120" w:type="dxa"/>
            </w:tcMar>
            <w:vAlign w:val="center"/>
            <w:shd w:fill="F5F8FA"/>
          </w:tcPr>
          <w:p>
            <w:pPr>
              <w:spacing w:after="0" w:line="252" w:lineRule="auto"/>
            </w:pPr>
            <w:r>
              <w:rPr>
                <w:sz w:val="18"/>
              </w:rPr>
              <w:t>Genera PDF ejecutivo, Word editable y Excel con hojas de cálculo estructuradas.</w:t>
            </w:r>
          </w:p>
        </w:tc>
      </w:tr>
      <w:tr>
        <w:tc>
          <w:tcPr>
            <w:tcW w:type="dxa" w:w="2592"/>
            <w:tcMar>
              <w:top w:w="110" w:type="dxa"/>
              <w:start w:w="120" w:type="dxa"/>
              <w:bottom w:w="110" w:type="dxa"/>
              <w:end w:w="120" w:type="dxa"/>
            </w:tcMar>
            <w:vAlign w:val="center"/>
          </w:tcPr>
          <w:p>
            <w:pPr>
              <w:spacing w:after="0" w:line="252" w:lineRule="auto"/>
            </w:pPr>
            <w:r>
              <w:rPr>
                <w:sz w:val="18"/>
              </w:rPr>
              <w:t>Asistente IA</w:t>
            </w:r>
          </w:p>
        </w:tc>
        <w:tc>
          <w:tcPr>
            <w:tcW w:type="dxa" w:w="7200"/>
            <w:tcMar>
              <w:top w:w="110" w:type="dxa"/>
              <w:start w:w="120" w:type="dxa"/>
              <w:bottom w:w="110" w:type="dxa"/>
              <w:end w:w="120" w:type="dxa"/>
            </w:tcMar>
            <w:vAlign w:val="center"/>
          </w:tcPr>
          <w:p>
            <w:pPr>
              <w:spacing w:after="0" w:line="252" w:lineRule="auto"/>
            </w:pPr>
            <w:r>
              <w:rPr>
                <w:sz w:val="18"/>
              </w:rPr>
              <w:t>Produce diagnósticos y recomendaciones contextualizadas para reducir emisiones.</w:t>
            </w:r>
          </w:p>
        </w:tc>
      </w:tr>
      <w:tr>
        <w:tc>
          <w:tcPr>
            <w:tcW w:type="dxa" w:w="2592"/>
            <w:tcMar>
              <w:top w:w="110" w:type="dxa"/>
              <w:start w:w="120" w:type="dxa"/>
              <w:bottom w:w="110" w:type="dxa"/>
              <w:end w:w="120" w:type="dxa"/>
            </w:tcMar>
            <w:vAlign w:val="center"/>
            <w:shd w:fill="F5F8FA"/>
          </w:tcPr>
          <w:p>
            <w:pPr>
              <w:spacing w:after="0" w:line="252" w:lineRule="auto"/>
            </w:pPr>
            <w:r>
              <w:rPr>
                <w:sz w:val="18"/>
              </w:rPr>
              <w:t>Pipeline ML</w:t>
            </w:r>
          </w:p>
        </w:tc>
        <w:tc>
          <w:tcPr>
            <w:tcW w:type="dxa" w:w="7200"/>
            <w:tcMar>
              <w:top w:w="110" w:type="dxa"/>
              <w:start w:w="120" w:type="dxa"/>
              <w:bottom w:w="110" w:type="dxa"/>
              <w:end w:w="120" w:type="dxa"/>
            </w:tcMar>
            <w:vAlign w:val="center"/>
            <w:shd w:fill="F5F8FA"/>
          </w:tcPr>
          <w:p>
            <w:pPr>
              <w:spacing w:after="0" w:line="252" w:lineRule="auto"/>
            </w:pPr>
            <w:r>
              <w:rPr>
                <w:sz w:val="18"/>
              </w:rPr>
              <w:t>Entrena cinco modelos, aplica validación y pruebas estadísticas y expone predicciones.</w:t>
            </w:r>
          </w:p>
        </w:tc>
      </w:tr>
      <w:tr>
        <w:tc>
          <w:tcPr>
            <w:tcW w:type="dxa" w:w="2592"/>
            <w:tcMar>
              <w:top w:w="110" w:type="dxa"/>
              <w:start w:w="120" w:type="dxa"/>
              <w:bottom w:w="110" w:type="dxa"/>
              <w:end w:w="120" w:type="dxa"/>
            </w:tcMar>
            <w:vAlign w:val="center"/>
          </w:tcPr>
          <w:p>
            <w:pPr>
              <w:spacing w:after="0" w:line="252" w:lineRule="auto"/>
            </w:pPr>
            <w:r>
              <w:rPr>
                <w:sz w:val="18"/>
              </w:rPr>
              <w:t>Usuarios y RBAC</w:t>
            </w:r>
          </w:p>
        </w:tc>
        <w:tc>
          <w:tcPr>
            <w:tcW w:type="dxa" w:w="7200"/>
            <w:tcMar>
              <w:top w:w="110" w:type="dxa"/>
              <w:start w:w="120" w:type="dxa"/>
              <w:bottom w:w="110" w:type="dxa"/>
              <w:end w:w="120" w:type="dxa"/>
            </w:tcMar>
            <w:vAlign w:val="center"/>
          </w:tcPr>
          <w:p>
            <w:pPr>
              <w:spacing w:after="0" w:line="252" w:lineRule="auto"/>
            </w:pPr>
            <w:r>
              <w:rPr>
                <w:sz w:val="18"/>
              </w:rPr>
              <w:t>Gestiona usuarios, roles, organizaciones y estado de acceso.</w:t>
            </w:r>
          </w:p>
        </w:tc>
      </w:tr>
      <w:tr>
        <w:tc>
          <w:tcPr>
            <w:tcW w:type="dxa" w:w="2592"/>
            <w:tcMar>
              <w:top w:w="110" w:type="dxa"/>
              <w:start w:w="120" w:type="dxa"/>
              <w:bottom w:w="110" w:type="dxa"/>
              <w:end w:w="120" w:type="dxa"/>
            </w:tcMar>
            <w:vAlign w:val="center"/>
            <w:shd w:fill="F5F8FA"/>
          </w:tcPr>
          <w:p>
            <w:pPr>
              <w:spacing w:after="0" w:line="252" w:lineRule="auto"/>
            </w:pPr>
            <w:r>
              <w:rPr>
                <w:sz w:val="18"/>
              </w:rPr>
              <w:t>Registro de auditoría</w:t>
            </w:r>
          </w:p>
        </w:tc>
        <w:tc>
          <w:tcPr>
            <w:tcW w:type="dxa" w:w="7200"/>
            <w:tcMar>
              <w:top w:w="110" w:type="dxa"/>
              <w:start w:w="120" w:type="dxa"/>
              <w:bottom w:w="110" w:type="dxa"/>
              <w:end w:w="120" w:type="dxa"/>
            </w:tcMar>
            <w:vAlign w:val="center"/>
            <w:shd w:fill="F5F8FA"/>
          </w:tcPr>
          <w:p>
            <w:pPr>
              <w:spacing w:after="0" w:line="252" w:lineRule="auto"/>
            </w:pPr>
            <w:r>
              <w:rPr>
                <w:sz w:val="18"/>
              </w:rPr>
              <w:t>Conserva acciones de creación, modificación, cálculo, exportación y eliminación.</w:t>
            </w:r>
          </w:p>
        </w:tc>
      </w:tr>
    </w:tbl>
    <w:p>
      <w:pPr>
        <w:spacing w:after="0"/>
      </w:pPr>
    </w:p>
    <w:p>
      <w:r>
        <w:br w:type="page"/>
      </w:r>
    </w:p>
    <w:p>
      <w:pPr>
        <w:pStyle w:val="Heading1"/>
      </w:pPr>
      <w:r>
        <w:t>4 Gemelos digitales agrícolas en 3D</w:t>
      </w:r>
    </w:p>
    <w:p>
      <w:r>
        <w:t>El módulo de gemelos digitales representa de forma visual la parcela y su infraestructura de observación. No es una imagen estática: utiliza una escena WebGL con controles de cámara, iluminación, capas y animaciones que ayudan a interpretar cómo circulan los datos desde el campo hasta el modelo digital.</w:t>
      </w:r>
    </w:p>
    <w:p>
      <w:pPr>
        <w:pStyle w:val="Heading2"/>
      </w:pPr>
      <w:r>
        <w:t>4.1 Elementos representados</w:t>
      </w:r>
    </w:p>
    <w:p>
      <w:pPr>
        <w:pStyle w:val="ListBullet"/>
      </w:pPr>
      <w:r>
        <w:t>Bloque de suelo, surcos y distribución espacial del cultivo.</w:t>
      </w:r>
    </w:p>
    <w:p>
      <w:pPr>
        <w:pStyle w:val="ListBullet"/>
      </w:pPr>
      <w:r>
        <w:t>Tuberías, líneas de riego y emisores asociados al balance hídrico.</w:t>
      </w:r>
    </w:p>
    <w:p>
      <w:pPr>
        <w:pStyle w:val="ListBullet"/>
      </w:pPr>
      <w:r>
        <w:t>Sensores IoT con indicadores de estado, paneles solares y cobertura inalámbrica.</w:t>
      </w:r>
    </w:p>
    <w:p>
      <w:pPr>
        <w:pStyle w:val="ListBullet"/>
      </w:pPr>
      <w:r>
        <w:t>Gateway Edge que concentra y procesa la telemetría de campo.</w:t>
      </w:r>
    </w:p>
    <w:p>
      <w:pPr>
        <w:pStyle w:val="ListBullet"/>
      </w:pPr>
      <w:r>
        <w:t>Núcleo holográfico que simboliza el modelo digital y sus algoritmos.</w:t>
      </w:r>
    </w:p>
    <w:p>
      <w:pPr>
        <w:pStyle w:val="ListBullet"/>
      </w:pPr>
      <w:r>
        <w:t>Paquetes animados que muestran el flujo de datos entre sensores y núcleo del gemelo.</w:t>
      </w:r>
    </w:p>
    <w:p>
      <w:pPr>
        <w:pStyle w:val="ListBullet"/>
      </w:pPr>
      <w:r>
        <w:t>Zonas NDVI para identificar diferencias de vigor vegetal.</w:t>
      </w:r>
    </w:p>
    <w:p>
      <w:pPr>
        <w:pStyle w:val="Heading2"/>
      </w:pPr>
      <w:r>
        <w:t>4.2 Controles disponibles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232"/>
            <w:shd w:fill="15324A"/>
            <w:tcMar>
              <w:top w:w="110" w:type="dxa"/>
              <w:start w:w="120" w:type="dxa"/>
              <w:bottom w:w="110" w:type="dxa"/>
              <w:end w:w="120" w:type="dxa"/>
            </w:tcMar>
            <w:vAlign w:val="center"/>
          </w:tcPr>
          <w:p>
            <w:pPr>
              <w:jc w:val="center"/>
            </w:pPr>
            <w:r>
              <w:rPr>
                <w:b/>
                <w:color w:val="FFFFFF"/>
                <w:sz w:val="18"/>
              </w:rPr>
              <w:t>Control</w:t>
            </w:r>
          </w:p>
        </w:tc>
        <w:tc>
          <w:tcPr>
            <w:tcW w:type="dxa" w:w="7560"/>
            <w:shd w:fill="15324A"/>
            <w:tcMar>
              <w:top w:w="110" w:type="dxa"/>
              <w:start w:w="120" w:type="dxa"/>
              <w:bottom w:w="110" w:type="dxa"/>
              <w:end w:w="120" w:type="dxa"/>
            </w:tcMar>
            <w:vAlign w:val="center"/>
          </w:tcPr>
          <w:p>
            <w:pPr>
              <w:jc w:val="center"/>
            </w:pPr>
            <w:r>
              <w:rPr>
                <w:b/>
                <w:color w:val="FFFFFF"/>
                <w:sz w:val="18"/>
              </w:rPr>
              <w:t>Resultado</w:t>
            </w:r>
          </w:p>
        </w:tc>
      </w:tr>
      <w:tr>
        <w:tc>
          <w:tcPr>
            <w:tcW w:type="dxa" w:w="2232"/>
            <w:tcMar>
              <w:top w:w="110" w:type="dxa"/>
              <w:start w:w="120" w:type="dxa"/>
              <w:bottom w:w="110" w:type="dxa"/>
              <w:end w:w="120" w:type="dxa"/>
            </w:tcMar>
            <w:vAlign w:val="center"/>
          </w:tcPr>
          <w:p>
            <w:pPr>
              <w:spacing w:after="0" w:line="252" w:lineRule="auto"/>
            </w:pPr>
            <w:r>
              <w:rPr>
                <w:sz w:val="18"/>
              </w:rPr>
              <w:t>Órbita</w:t>
            </w:r>
          </w:p>
        </w:tc>
        <w:tc>
          <w:tcPr>
            <w:tcW w:type="dxa" w:w="7560"/>
            <w:tcMar>
              <w:top w:w="110" w:type="dxa"/>
              <w:start w:w="120" w:type="dxa"/>
              <w:bottom w:w="110" w:type="dxa"/>
              <w:end w:w="120" w:type="dxa"/>
            </w:tcMar>
            <w:vAlign w:val="center"/>
          </w:tcPr>
          <w:p>
            <w:pPr>
              <w:spacing w:after="0" w:line="252" w:lineRule="auto"/>
            </w:pPr>
            <w:r>
              <w:rPr>
                <w:sz w:val="18"/>
              </w:rPr>
              <w:t>Permite rotar libremente alrededor de la parcela y acercar o alejar la cámara.</w:t>
            </w:r>
          </w:p>
        </w:tc>
      </w:tr>
      <w:tr>
        <w:tc>
          <w:tcPr>
            <w:tcW w:type="dxa" w:w="2232"/>
            <w:tcMar>
              <w:top w:w="110" w:type="dxa"/>
              <w:start w:w="120" w:type="dxa"/>
              <w:bottom w:w="110" w:type="dxa"/>
              <w:end w:w="120" w:type="dxa"/>
            </w:tcMar>
            <w:vAlign w:val="center"/>
            <w:shd w:fill="F5F8FA"/>
          </w:tcPr>
          <w:p>
            <w:pPr>
              <w:spacing w:after="0" w:line="252" w:lineRule="auto"/>
            </w:pPr>
            <w:r>
              <w:rPr>
                <w:sz w:val="18"/>
              </w:rPr>
              <w:t>Satelital</w:t>
            </w:r>
          </w:p>
        </w:tc>
        <w:tc>
          <w:tcPr>
            <w:tcW w:type="dxa" w:w="7560"/>
            <w:tcMar>
              <w:top w:w="110" w:type="dxa"/>
              <w:start w:w="120" w:type="dxa"/>
              <w:bottom w:w="110" w:type="dxa"/>
              <w:end w:w="120" w:type="dxa"/>
            </w:tcMar>
            <w:vAlign w:val="center"/>
            <w:shd w:fill="F5F8FA"/>
          </w:tcPr>
          <w:p>
            <w:pPr>
              <w:spacing w:after="0" w:line="252" w:lineRule="auto"/>
            </w:pPr>
            <w:r>
              <w:rPr>
                <w:sz w:val="18"/>
              </w:rPr>
              <w:t>Coloca la cámara sobre el cultivo para una lectura espacial de sectores y NDVI.</w:t>
            </w:r>
          </w:p>
        </w:tc>
      </w:tr>
      <w:tr>
        <w:tc>
          <w:tcPr>
            <w:tcW w:type="dxa" w:w="2232"/>
            <w:tcMar>
              <w:top w:w="110" w:type="dxa"/>
              <w:start w:w="120" w:type="dxa"/>
              <w:bottom w:w="110" w:type="dxa"/>
              <w:end w:w="120" w:type="dxa"/>
            </w:tcMar>
            <w:vAlign w:val="center"/>
          </w:tcPr>
          <w:p>
            <w:pPr>
              <w:spacing w:after="0" w:line="252" w:lineRule="auto"/>
            </w:pPr>
            <w:r>
              <w:rPr>
                <w:sz w:val="18"/>
              </w:rPr>
              <w:t>A ras de campo</w:t>
            </w:r>
          </w:p>
        </w:tc>
        <w:tc>
          <w:tcPr>
            <w:tcW w:type="dxa" w:w="7560"/>
            <w:tcMar>
              <w:top w:w="110" w:type="dxa"/>
              <w:start w:w="120" w:type="dxa"/>
              <w:bottom w:w="110" w:type="dxa"/>
              <w:end w:w="120" w:type="dxa"/>
            </w:tcMar>
            <w:vAlign w:val="center"/>
          </w:tcPr>
          <w:p>
            <w:pPr>
              <w:spacing w:after="0" w:line="252" w:lineRule="auto"/>
            </w:pPr>
            <w:r>
              <w:rPr>
                <w:sz w:val="18"/>
              </w:rPr>
              <w:t>Sitúa la cámara cerca del cultivo para observar sensores y líneas de riego.</w:t>
            </w:r>
          </w:p>
        </w:tc>
      </w:tr>
      <w:tr>
        <w:tc>
          <w:tcPr>
            <w:tcW w:type="dxa" w:w="2232"/>
            <w:tcMar>
              <w:top w:w="110" w:type="dxa"/>
              <w:start w:w="120" w:type="dxa"/>
              <w:bottom w:w="110" w:type="dxa"/>
              <w:end w:w="120" w:type="dxa"/>
            </w:tcMar>
            <w:vAlign w:val="center"/>
            <w:shd w:fill="F5F8FA"/>
          </w:tcPr>
          <w:p>
            <w:pPr>
              <w:spacing w:after="0" w:line="252" w:lineRule="auto"/>
            </w:pPr>
            <w:r>
              <w:rPr>
                <w:sz w:val="18"/>
              </w:rPr>
              <w:t>Capas operativas</w:t>
            </w:r>
          </w:p>
        </w:tc>
        <w:tc>
          <w:tcPr>
            <w:tcW w:type="dxa" w:w="7560"/>
            <w:tcMar>
              <w:top w:w="110" w:type="dxa"/>
              <w:start w:w="120" w:type="dxa"/>
              <w:bottom w:w="110" w:type="dxa"/>
              <w:end w:w="120" w:type="dxa"/>
            </w:tcMar>
            <w:vAlign w:val="center"/>
            <w:shd w:fill="F5F8FA"/>
          </w:tcPr>
          <w:p>
            <w:pPr>
              <w:spacing w:after="0" w:line="252" w:lineRule="auto"/>
            </w:pPr>
            <w:r>
              <w:rPr>
                <w:sz w:val="18"/>
              </w:rPr>
              <w:t>Activa o desactiva NDVI, IoT, flujo de datos y red de riego.</w:t>
            </w:r>
          </w:p>
        </w:tc>
      </w:tr>
      <w:tr>
        <w:tc>
          <w:tcPr>
            <w:tcW w:type="dxa" w:w="2232"/>
            <w:tcMar>
              <w:top w:w="110" w:type="dxa"/>
              <w:start w:w="120" w:type="dxa"/>
              <w:bottom w:w="110" w:type="dxa"/>
              <w:end w:w="120" w:type="dxa"/>
            </w:tcMar>
            <w:vAlign w:val="center"/>
          </w:tcPr>
          <w:p>
            <w:pPr>
              <w:spacing w:after="0" w:line="252" w:lineRule="auto"/>
            </w:pPr>
            <w:r>
              <w:rPr>
                <w:sz w:val="18"/>
              </w:rPr>
              <w:t>Hora de simulación</w:t>
            </w:r>
          </w:p>
        </w:tc>
        <w:tc>
          <w:tcPr>
            <w:tcW w:type="dxa" w:w="7560"/>
            <w:tcMar>
              <w:top w:w="110" w:type="dxa"/>
              <w:start w:w="120" w:type="dxa"/>
              <w:bottom w:w="110" w:type="dxa"/>
              <w:end w:w="120" w:type="dxa"/>
            </w:tcMar>
            <w:vAlign w:val="center"/>
          </w:tcPr>
          <w:p>
            <w:pPr>
              <w:spacing w:after="0" w:line="252" w:lineRule="auto"/>
            </w:pPr>
            <w:r>
              <w:rPr>
                <w:sz w:val="18"/>
              </w:rPr>
              <w:t>Modifica posición e intensidad solar, ambiente, fondo y niebla.</w:t>
            </w:r>
          </w:p>
        </w:tc>
      </w:tr>
      <w:tr>
        <w:tc>
          <w:tcPr>
            <w:tcW w:type="dxa" w:w="2232"/>
            <w:tcMar>
              <w:top w:w="110" w:type="dxa"/>
              <w:start w:w="120" w:type="dxa"/>
              <w:bottom w:w="110" w:type="dxa"/>
              <w:end w:w="120" w:type="dxa"/>
            </w:tcMar>
            <w:vAlign w:val="center"/>
            <w:shd w:fill="F5F8FA"/>
          </w:tcPr>
          <w:p>
            <w:pPr>
              <w:spacing w:after="0" w:line="252" w:lineRule="auto"/>
            </w:pPr>
            <w:r>
              <w:rPr>
                <w:sz w:val="18"/>
              </w:rPr>
              <w:t>Pausa</w:t>
            </w:r>
          </w:p>
        </w:tc>
        <w:tc>
          <w:tcPr>
            <w:tcW w:type="dxa" w:w="7560"/>
            <w:tcMar>
              <w:top w:w="110" w:type="dxa"/>
              <w:start w:w="120" w:type="dxa"/>
              <w:bottom w:w="110" w:type="dxa"/>
              <w:end w:w="120" w:type="dxa"/>
            </w:tcMar>
            <w:vAlign w:val="center"/>
            <w:shd w:fill="F5F8FA"/>
          </w:tcPr>
          <w:p>
            <w:pPr>
              <w:spacing w:after="0" w:line="252" w:lineRule="auto"/>
            </w:pPr>
            <w:r>
              <w:rPr>
                <w:sz w:val="18"/>
              </w:rPr>
              <w:t>Detiene los paquetes, pulsos e indicadores sin perder la vista actual.</w:t>
            </w:r>
          </w:p>
        </w:tc>
      </w:tr>
      <w:tr>
        <w:tc>
          <w:tcPr>
            <w:tcW w:type="dxa" w:w="2232"/>
            <w:tcMar>
              <w:top w:w="110" w:type="dxa"/>
              <w:start w:w="120" w:type="dxa"/>
              <w:bottom w:w="110" w:type="dxa"/>
              <w:end w:w="120" w:type="dxa"/>
            </w:tcMar>
            <w:vAlign w:val="center"/>
          </w:tcPr>
          <w:p>
            <w:pPr>
              <w:spacing w:after="0" w:line="252" w:lineRule="auto"/>
            </w:pPr>
            <w:r>
              <w:rPr>
                <w:sz w:val="18"/>
              </w:rPr>
              <w:t>Ampliar</w:t>
            </w:r>
          </w:p>
        </w:tc>
        <w:tc>
          <w:tcPr>
            <w:tcW w:type="dxa" w:w="7560"/>
            <w:tcMar>
              <w:top w:w="110" w:type="dxa"/>
              <w:start w:w="120" w:type="dxa"/>
              <w:bottom w:w="110" w:type="dxa"/>
              <w:end w:w="120" w:type="dxa"/>
            </w:tcMar>
            <w:vAlign w:val="center"/>
          </w:tcPr>
          <w:p>
            <w:pPr>
              <w:spacing w:after="0" w:line="252" w:lineRule="auto"/>
            </w:pPr>
            <w:r>
              <w:rPr>
                <w:sz w:val="18"/>
              </w:rPr>
              <w:t>Expande el visor para inspeccionar la escena con mayor detalle.</w:t>
            </w:r>
          </w:p>
        </w:tc>
      </w:tr>
    </w:tbl>
    <w:p>
      <w:pPr>
        <w:spacing w:after="0"/>
      </w:pPr>
    </w:p>
    <w:p>
      <w:pPr>
        <w:pStyle w:val="Heading2"/>
      </w:pPr>
      <w:r>
        <w:t>4.3 Indicadores del visor</w:t>
      </w:r>
    </w:p>
    <w:p>
      <w:pPr>
        <w:spacing w:after="0" w:line="20" w:lineRule="exact"/>
      </w:pPr>
    </w:p>
    <w:p>
      <w:r>
        <w:t>El panel muestra fidelidad, confianza, latencia y carbono del gemelo. La fidelidad se relaciona con la frecuencia de actualización, la confianza con el volumen de telemetría, la latencia con el intervalo de refresco y el carbono con la sobrecarga anual declarada o estimada del cómputo.</w:t>
      </w:r>
    </w:p>
    <w:p>
      <w:r>
        <w:br w:type="page"/>
      </w:r>
    </w:p>
    <w:p>
      <w:pPr>
        <w:pStyle w:val="Heading1"/>
      </w:pPr>
      <w:r>
        <w:t>5 Metodología de cálculo de carbono</w:t>
      </w:r>
    </w:p>
    <w:p>
      <w:r>
        <w:t>El motor aplica una evaluación de ciclo de vida alineada con la estructura de ISO 14040 e ISO 14044. El resultado total agrega emisiones incorporadas y operativas y descuenta, cuando corresponde, créditos de reciclaje o recuperación al final de la vida útil.</w:t>
      </w:r>
    </w:p>
    <w:p>
      <w:pPr>
        <w:pStyle w:val="Heading2"/>
      </w:pPr>
      <w:r>
        <w:t>5.1 Etapas evaluadas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088"/>
            <w:shd w:fill="15324A"/>
            <w:tcMar>
              <w:top w:w="110" w:type="dxa"/>
              <w:start w:w="120" w:type="dxa"/>
              <w:bottom w:w="110" w:type="dxa"/>
              <w:end w:w="120" w:type="dxa"/>
            </w:tcMar>
            <w:vAlign w:val="center"/>
          </w:tcPr>
          <w:p>
            <w:pPr>
              <w:jc w:val="center"/>
            </w:pPr>
            <w:r>
              <w:rPr>
                <w:b/>
                <w:color w:val="FFFFFF"/>
                <w:sz w:val="18"/>
              </w:rPr>
              <w:t>Etapa</w:t>
            </w:r>
          </w:p>
        </w:tc>
        <w:tc>
          <w:tcPr>
            <w:tcW w:type="dxa" w:w="7704"/>
            <w:shd w:fill="15324A"/>
            <w:tcMar>
              <w:top w:w="110" w:type="dxa"/>
              <w:start w:w="120" w:type="dxa"/>
              <w:bottom w:w="110" w:type="dxa"/>
              <w:end w:w="120" w:type="dxa"/>
            </w:tcMar>
            <w:vAlign w:val="center"/>
          </w:tcPr>
          <w:p>
            <w:pPr>
              <w:jc w:val="center"/>
            </w:pPr>
            <w:r>
              <w:rPr>
                <w:b/>
                <w:color w:val="FFFFFF"/>
                <w:sz w:val="18"/>
              </w:rPr>
              <w:t>Qué representa</w:t>
            </w:r>
          </w:p>
        </w:tc>
      </w:tr>
      <w:tr>
        <w:tc>
          <w:tcPr>
            <w:tcW w:type="dxa" w:w="2088"/>
            <w:tcMar>
              <w:top w:w="110" w:type="dxa"/>
              <w:start w:w="120" w:type="dxa"/>
              <w:bottom w:w="110" w:type="dxa"/>
              <w:end w:w="120" w:type="dxa"/>
            </w:tcMar>
            <w:vAlign w:val="center"/>
          </w:tcPr>
          <w:p>
            <w:pPr>
              <w:spacing w:after="0" w:line="252" w:lineRule="auto"/>
            </w:pPr>
            <w:r>
              <w:rPr>
                <w:sz w:val="18"/>
              </w:rPr>
              <w:t>Fabricación</w:t>
            </w:r>
          </w:p>
        </w:tc>
        <w:tc>
          <w:tcPr>
            <w:tcW w:type="dxa" w:w="7704"/>
            <w:tcMar>
              <w:top w:w="110" w:type="dxa"/>
              <w:start w:w="120" w:type="dxa"/>
              <w:bottom w:w="110" w:type="dxa"/>
              <w:end w:w="120" w:type="dxa"/>
            </w:tcMar>
            <w:vAlign w:val="center"/>
          </w:tcPr>
          <w:p>
            <w:pPr>
              <w:spacing w:after="0" w:line="252" w:lineRule="auto"/>
            </w:pPr>
            <w:r>
              <w:rPr>
                <w:sz w:val="18"/>
              </w:rPr>
              <w:t>Materiales, componentes electrónicos, servidores y equipos necesarios.</w:t>
            </w:r>
          </w:p>
        </w:tc>
      </w:tr>
      <w:tr>
        <w:tc>
          <w:tcPr>
            <w:tcW w:type="dxa" w:w="2088"/>
            <w:tcMar>
              <w:top w:w="110" w:type="dxa"/>
              <w:start w:w="120" w:type="dxa"/>
              <w:bottom w:w="110" w:type="dxa"/>
              <w:end w:w="120" w:type="dxa"/>
            </w:tcMar>
            <w:vAlign w:val="center"/>
            <w:shd w:fill="F5F8FA"/>
          </w:tcPr>
          <w:p>
            <w:pPr>
              <w:spacing w:after="0" w:line="252" w:lineRule="auto"/>
            </w:pPr>
            <w:r>
              <w:rPr>
                <w:sz w:val="18"/>
              </w:rPr>
              <w:t>Transporte</w:t>
            </w:r>
          </w:p>
        </w:tc>
        <w:tc>
          <w:tcPr>
            <w:tcW w:type="dxa" w:w="7704"/>
            <w:tcMar>
              <w:top w:w="110" w:type="dxa"/>
              <w:start w:w="120" w:type="dxa"/>
              <w:bottom w:w="110" w:type="dxa"/>
              <w:end w:w="120" w:type="dxa"/>
            </w:tcMar>
            <w:vAlign w:val="center"/>
            <w:shd w:fill="F5F8FA"/>
          </w:tcPr>
          <w:p>
            <w:pPr>
              <w:spacing w:after="0" w:line="252" w:lineRule="auto"/>
            </w:pPr>
            <w:r>
              <w:rPr>
                <w:sz w:val="18"/>
              </w:rPr>
              <w:t>Traslado de dispositivos hasta la explotación agrícola.</w:t>
            </w:r>
          </w:p>
        </w:tc>
      </w:tr>
      <w:tr>
        <w:tc>
          <w:tcPr>
            <w:tcW w:type="dxa" w:w="2088"/>
            <w:tcMar>
              <w:top w:w="110" w:type="dxa"/>
              <w:start w:w="120" w:type="dxa"/>
              <w:bottom w:w="110" w:type="dxa"/>
              <w:end w:w="120" w:type="dxa"/>
            </w:tcMar>
            <w:vAlign w:val="center"/>
          </w:tcPr>
          <w:p>
            <w:pPr>
              <w:spacing w:after="0" w:line="252" w:lineRule="auto"/>
            </w:pPr>
            <w:r>
              <w:rPr>
                <w:sz w:val="18"/>
              </w:rPr>
              <w:t>Instalación</w:t>
            </w:r>
          </w:p>
        </w:tc>
        <w:tc>
          <w:tcPr>
            <w:tcW w:type="dxa" w:w="7704"/>
            <w:tcMar>
              <w:top w:w="110" w:type="dxa"/>
              <w:start w:w="120" w:type="dxa"/>
              <w:bottom w:w="110" w:type="dxa"/>
              <w:end w:w="120" w:type="dxa"/>
            </w:tcMar>
            <w:vAlign w:val="center"/>
          </w:tcPr>
          <w:p>
            <w:pPr>
              <w:spacing w:after="0" w:line="252" w:lineRule="auto"/>
            </w:pPr>
            <w:r>
              <w:rPr>
                <w:sz w:val="18"/>
              </w:rPr>
              <w:t>Despliegue, calibración inicial y puesta en servicio.</w:t>
            </w:r>
          </w:p>
        </w:tc>
      </w:tr>
      <w:tr>
        <w:tc>
          <w:tcPr>
            <w:tcW w:type="dxa" w:w="2088"/>
            <w:tcMar>
              <w:top w:w="110" w:type="dxa"/>
              <w:start w:w="120" w:type="dxa"/>
              <w:bottom w:w="110" w:type="dxa"/>
              <w:end w:w="120" w:type="dxa"/>
            </w:tcMar>
            <w:vAlign w:val="center"/>
            <w:shd w:fill="F5F8FA"/>
          </w:tcPr>
          <w:p>
            <w:pPr>
              <w:spacing w:after="0" w:line="252" w:lineRule="auto"/>
            </w:pPr>
            <w:r>
              <w:rPr>
                <w:sz w:val="18"/>
              </w:rPr>
              <w:t>Operación</w:t>
            </w:r>
          </w:p>
        </w:tc>
        <w:tc>
          <w:tcPr>
            <w:tcW w:type="dxa" w:w="7704"/>
            <w:tcMar>
              <w:top w:w="110" w:type="dxa"/>
              <w:start w:w="120" w:type="dxa"/>
              <w:bottom w:w="110" w:type="dxa"/>
              <w:end w:w="120" w:type="dxa"/>
            </w:tcMar>
            <w:vAlign w:val="center"/>
            <w:shd w:fill="F5F8FA"/>
          </w:tcPr>
          <w:p>
            <w:pPr>
              <w:spacing w:after="0" w:line="252" w:lineRule="auto"/>
            </w:pPr>
            <w:r>
              <w:rPr>
                <w:sz w:val="18"/>
              </w:rPr>
              <w:t>Electricidad consumida durante el periodo de análisis.</w:t>
            </w:r>
          </w:p>
        </w:tc>
      </w:tr>
      <w:tr>
        <w:tc>
          <w:tcPr>
            <w:tcW w:type="dxa" w:w="2088"/>
            <w:tcMar>
              <w:top w:w="110" w:type="dxa"/>
              <w:start w:w="120" w:type="dxa"/>
              <w:bottom w:w="110" w:type="dxa"/>
              <w:end w:w="120" w:type="dxa"/>
            </w:tcMar>
            <w:vAlign w:val="center"/>
          </w:tcPr>
          <w:p>
            <w:pPr>
              <w:spacing w:after="0" w:line="252" w:lineRule="auto"/>
            </w:pPr>
            <w:r>
              <w:rPr>
                <w:sz w:val="18"/>
              </w:rPr>
              <w:t>Mantenimiento</w:t>
            </w:r>
          </w:p>
        </w:tc>
        <w:tc>
          <w:tcPr>
            <w:tcW w:type="dxa" w:w="7704"/>
            <w:tcMar>
              <w:top w:w="110" w:type="dxa"/>
              <w:start w:w="120" w:type="dxa"/>
              <w:bottom w:w="110" w:type="dxa"/>
              <w:end w:w="120" w:type="dxa"/>
            </w:tcMar>
            <w:vAlign w:val="center"/>
          </w:tcPr>
          <w:p>
            <w:pPr>
              <w:spacing w:after="0" w:line="252" w:lineRule="auto"/>
            </w:pPr>
            <w:r>
              <w:rPr>
                <w:sz w:val="18"/>
              </w:rPr>
              <w:t>Repuestos, desplazamientos, actualizaciones y recalibraciones.</w:t>
            </w:r>
          </w:p>
        </w:tc>
      </w:tr>
      <w:tr>
        <w:tc>
          <w:tcPr>
            <w:tcW w:type="dxa" w:w="2088"/>
            <w:tcMar>
              <w:top w:w="110" w:type="dxa"/>
              <w:start w:w="120" w:type="dxa"/>
              <w:bottom w:w="110" w:type="dxa"/>
              <w:end w:w="120" w:type="dxa"/>
            </w:tcMar>
            <w:vAlign w:val="center"/>
            <w:shd w:fill="F5F8FA"/>
          </w:tcPr>
          <w:p>
            <w:pPr>
              <w:spacing w:after="0" w:line="252" w:lineRule="auto"/>
            </w:pPr>
            <w:r>
              <w:rPr>
                <w:sz w:val="18"/>
              </w:rPr>
              <w:t>Fin de vida</w:t>
            </w:r>
          </w:p>
        </w:tc>
        <w:tc>
          <w:tcPr>
            <w:tcW w:type="dxa" w:w="7704"/>
            <w:tcMar>
              <w:top w:w="110" w:type="dxa"/>
              <w:start w:w="120" w:type="dxa"/>
              <w:bottom w:w="110" w:type="dxa"/>
              <w:end w:w="120" w:type="dxa"/>
            </w:tcMar>
            <w:vAlign w:val="center"/>
            <w:shd w:fill="F5F8FA"/>
          </w:tcPr>
          <w:p>
            <w:pPr>
              <w:spacing w:after="0" w:line="252" w:lineRule="auto"/>
            </w:pPr>
            <w:r>
              <w:rPr>
                <w:sz w:val="18"/>
              </w:rPr>
              <w:t>Gestión RAEE, reciclaje y créditos por recuperación de materiales.</w:t>
            </w:r>
          </w:p>
        </w:tc>
      </w:tr>
    </w:tbl>
    <w:p>
      <w:pPr>
        <w:spacing w:after="0"/>
      </w:pPr>
    </w:p>
    <w:p>
      <w:pPr>
        <w:pStyle w:val="Heading2"/>
      </w:pPr>
      <w:r>
        <w:t>5.2 Estructura del cálculo</w:t>
      </w:r>
    </w:p>
    <w:p>
      <w:r>
        <w:t>Huella total = fabricación + transporte + instalación + operación + mantenimiento + fin de vida.</w:t>
      </w:r>
    </w:p>
    <w:p>
      <w:r>
        <w:t>En la fase operativa se combinan potencia, horas de uso, factor de emisión de la red y, para recursos Cloud, eficiencia energética del centro de datos. El sistema calcula además emisiones por hectárea, emisiones medias diarias, energía total y participación porcentual de cada categoría.</w:t>
      </w:r>
    </w:p>
    <w:p>
      <w:pPr>
        <w:pStyle w:val="Heading2"/>
      </w:pPr>
      <w:r>
        <w:t>5.3 Categorías tecnológicas</w:t>
      </w:r>
    </w:p>
    <w:p>
      <w:pPr>
        <w:pStyle w:val="ListBullet"/>
      </w:pPr>
      <w:r>
        <w:t>Sensores IoT y sus comunicaciones.</w:t>
      </w:r>
    </w:p>
    <w:p>
      <w:pPr>
        <w:pStyle w:val="ListBullet"/>
      </w:pPr>
      <w:r>
        <w:t>Dispositivos Edge de procesamiento local.</w:t>
      </w:r>
    </w:p>
    <w:p>
      <w:pPr>
        <w:pStyle w:val="ListBullet"/>
      </w:pPr>
      <w:r>
        <w:t>Infraestructura Cloud, almacenamiento y bases de datos.</w:t>
      </w:r>
    </w:p>
    <w:p>
      <w:pPr>
        <w:pStyle w:val="ListBullet"/>
      </w:pPr>
      <w:r>
        <w:t>Gemelos digitales y entrenamiento o recalibración de modelos.</w:t>
      </w:r>
    </w:p>
    <w:p>
      <w:pPr>
        <w:pStyle w:val="ListBullet"/>
      </w:pPr>
      <w:r>
        <w:t>Red y comunicaciones dedicadas.</w:t>
      </w:r>
    </w:p>
    <w:p>
      <w:pPr>
        <w:pStyle w:val="Heading2"/>
      </w:pPr>
      <w:r>
        <w:t>5.4 Comparación de escenarios</w:t>
      </w:r>
    </w:p>
    <w:p>
      <w:r>
        <w:t>El simulador permite cambiar número de sensores, nodos Edge, horas Cloud, almacenamiento, frecuencia de transmisión, uso de energía renovable y alimentación solar. Cada escenario recalcula carbono, energía, coste aproximado y latencia, facilitando la elección de una arquitectura con menor impacto.</w:t>
      </w:r>
    </w:p>
    <w:p>
      <w:r>
        <w:br w:type="page"/>
      </w:r>
    </w:p>
    <w:p>
      <w:pPr>
        <w:pStyle w:val="Heading1"/>
      </w:pPr>
      <w:r>
        <w:t>6 Inteligencia artificial y aprendizaje automático</w:t>
      </w:r>
    </w:p>
    <w:p>
      <w:pPr>
        <w:pStyle w:val="Heading2"/>
      </w:pPr>
      <w:r>
        <w:t>6.1 Asistente de descarbonización</w:t>
      </w:r>
    </w:p>
    <w:p>
      <w:r>
        <w:t>El asistente recibe el proyecto activo, la evaluación calculada y la pregunta del usuario. FastAPI genera una respuesta contextual que prioriza medidas como filtrado por eventos en Edge, envío de telemetría por lotes, selección de regiones Cloud con baja intensidad de carbono y alimentación fotovoltaica de gateways.</w:t>
      </w:r>
    </w:p>
    <w:p>
      <w:r>
        <w:t>Si se configura una clave de un proveedor externo compatible, el backend puede solicitar un análisis generativo. Si no existe esa clave o la llamada falla, el sistema devuelve un diagnóstico local determinista. Por tanto, el módulo conserva una respuesta útil sin depender obligatoriamente de un servicio externo.</w:t>
      </w:r>
    </w:p>
    <w:p>
      <w:pPr>
        <w:pStyle w:val="Heading2"/>
      </w:pPr>
      <w:r>
        <w:t>6.2 Pipeline de aprendizaje automático</w:t>
      </w:r>
    </w:p>
    <w:p>
      <w:r>
        <w:t>El pipeline genera o carga un conjunto de datos, realiza análisis exploratorio, prepara variables, entrena modelos y evalúa su capacidad para estimar emisiones totales. La ejecución se inicia desde la interfaz y FastAPI informa el progreso hasta completar el reporte.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088"/>
            <w:shd w:fill="15324A"/>
            <w:tcMar>
              <w:top w:w="110" w:type="dxa"/>
              <w:start w:w="120" w:type="dxa"/>
              <w:bottom w:w="110" w:type="dxa"/>
              <w:end w:w="120" w:type="dxa"/>
            </w:tcMar>
            <w:vAlign w:val="center"/>
          </w:tcPr>
          <w:p>
            <w:pPr>
              <w:jc w:val="center"/>
            </w:pPr>
            <w:r>
              <w:rPr>
                <w:b/>
                <w:color w:val="FFFFFF"/>
                <w:sz w:val="18"/>
              </w:rPr>
              <w:t>Modelo</w:t>
            </w:r>
          </w:p>
        </w:tc>
        <w:tc>
          <w:tcPr>
            <w:tcW w:type="dxa" w:w="7704"/>
            <w:shd w:fill="15324A"/>
            <w:tcMar>
              <w:top w:w="110" w:type="dxa"/>
              <w:start w:w="120" w:type="dxa"/>
              <w:bottom w:w="110" w:type="dxa"/>
              <w:end w:w="120" w:type="dxa"/>
            </w:tcMar>
            <w:vAlign w:val="center"/>
          </w:tcPr>
          <w:p>
            <w:pPr>
              <w:jc w:val="center"/>
            </w:pPr>
            <w:r>
              <w:rPr>
                <w:b/>
                <w:color w:val="FFFFFF"/>
                <w:sz w:val="18"/>
              </w:rPr>
              <w:t>Papel en la evaluación</w:t>
            </w:r>
          </w:p>
        </w:tc>
      </w:tr>
      <w:tr>
        <w:tc>
          <w:tcPr>
            <w:tcW w:type="dxa" w:w="2088"/>
            <w:tcMar>
              <w:top w:w="110" w:type="dxa"/>
              <w:start w:w="120" w:type="dxa"/>
              <w:bottom w:w="110" w:type="dxa"/>
              <w:end w:w="120" w:type="dxa"/>
            </w:tcMar>
            <w:vAlign w:val="center"/>
          </w:tcPr>
          <w:p>
            <w:pPr>
              <w:spacing w:after="0" w:line="252" w:lineRule="auto"/>
            </w:pPr>
            <w:r>
              <w:rPr>
                <w:sz w:val="18"/>
              </w:rPr>
              <w:t>Random Forest</w:t>
            </w:r>
          </w:p>
        </w:tc>
        <w:tc>
          <w:tcPr>
            <w:tcW w:type="dxa" w:w="7704"/>
            <w:tcMar>
              <w:top w:w="110" w:type="dxa"/>
              <w:start w:w="120" w:type="dxa"/>
              <w:bottom w:w="110" w:type="dxa"/>
              <w:end w:w="120" w:type="dxa"/>
            </w:tcMar>
            <w:vAlign w:val="center"/>
          </w:tcPr>
          <w:p>
            <w:pPr>
              <w:spacing w:after="0" w:line="252" w:lineRule="auto"/>
            </w:pPr>
            <w:r>
              <w:rPr>
                <w:sz w:val="18"/>
              </w:rPr>
              <w:t>Modelo de árboles robusto y base de comparación no lineal.</w:t>
            </w:r>
          </w:p>
        </w:tc>
      </w:tr>
      <w:tr>
        <w:tc>
          <w:tcPr>
            <w:tcW w:type="dxa" w:w="2088"/>
            <w:tcMar>
              <w:top w:w="110" w:type="dxa"/>
              <w:start w:w="120" w:type="dxa"/>
              <w:bottom w:w="110" w:type="dxa"/>
              <w:end w:w="120" w:type="dxa"/>
            </w:tcMar>
            <w:vAlign w:val="center"/>
            <w:shd w:fill="F5F8FA"/>
          </w:tcPr>
          <w:p>
            <w:pPr>
              <w:spacing w:after="0" w:line="252" w:lineRule="auto"/>
            </w:pPr>
            <w:r>
              <w:rPr>
                <w:sz w:val="18"/>
              </w:rPr>
              <w:t>XGBoost</w:t>
            </w:r>
          </w:p>
        </w:tc>
        <w:tc>
          <w:tcPr>
            <w:tcW w:type="dxa" w:w="7704"/>
            <w:tcMar>
              <w:top w:w="110" w:type="dxa"/>
              <w:start w:w="120" w:type="dxa"/>
              <w:bottom w:w="110" w:type="dxa"/>
              <w:end w:w="120" w:type="dxa"/>
            </w:tcMar>
            <w:vAlign w:val="center"/>
            <w:shd w:fill="F5F8FA"/>
          </w:tcPr>
          <w:p>
            <w:pPr>
              <w:spacing w:after="0" w:line="252" w:lineRule="auto"/>
            </w:pPr>
            <w:r>
              <w:rPr>
                <w:sz w:val="18"/>
              </w:rPr>
              <w:t>Boosting de gradiente para relaciones complejas y alta precisión.</w:t>
            </w:r>
          </w:p>
        </w:tc>
      </w:tr>
      <w:tr>
        <w:tc>
          <w:tcPr>
            <w:tcW w:type="dxa" w:w="2088"/>
            <w:tcMar>
              <w:top w:w="110" w:type="dxa"/>
              <w:start w:w="120" w:type="dxa"/>
              <w:bottom w:w="110" w:type="dxa"/>
              <w:end w:w="120" w:type="dxa"/>
            </w:tcMar>
            <w:vAlign w:val="center"/>
          </w:tcPr>
          <w:p>
            <w:pPr>
              <w:spacing w:after="0" w:line="252" w:lineRule="auto"/>
            </w:pPr>
            <w:r>
              <w:rPr>
                <w:sz w:val="18"/>
              </w:rPr>
              <w:t>SVR</w:t>
            </w:r>
          </w:p>
        </w:tc>
        <w:tc>
          <w:tcPr>
            <w:tcW w:type="dxa" w:w="7704"/>
            <w:tcMar>
              <w:top w:w="110" w:type="dxa"/>
              <w:start w:w="120" w:type="dxa"/>
              <w:bottom w:w="110" w:type="dxa"/>
              <w:end w:w="120" w:type="dxa"/>
            </w:tcMar>
            <w:vAlign w:val="center"/>
          </w:tcPr>
          <w:p>
            <w:pPr>
              <w:spacing w:after="0" w:line="252" w:lineRule="auto"/>
            </w:pPr>
            <w:r>
              <w:rPr>
                <w:sz w:val="18"/>
              </w:rPr>
              <w:t>Regresión de vectores de soporte como alternativa basada en márgenes.</w:t>
            </w:r>
          </w:p>
        </w:tc>
      </w:tr>
      <w:tr>
        <w:tc>
          <w:tcPr>
            <w:tcW w:type="dxa" w:w="2088"/>
            <w:tcMar>
              <w:top w:w="110" w:type="dxa"/>
              <w:start w:w="120" w:type="dxa"/>
              <w:bottom w:w="110" w:type="dxa"/>
              <w:end w:w="120" w:type="dxa"/>
            </w:tcMar>
            <w:vAlign w:val="center"/>
            <w:shd w:fill="F5F8FA"/>
          </w:tcPr>
          <w:p>
            <w:pPr>
              <w:spacing w:after="0" w:line="252" w:lineRule="auto"/>
            </w:pPr>
            <w:r>
              <w:rPr>
                <w:sz w:val="18"/>
              </w:rPr>
              <w:t>Stacking</w:t>
            </w:r>
          </w:p>
        </w:tc>
        <w:tc>
          <w:tcPr>
            <w:tcW w:type="dxa" w:w="7704"/>
            <w:tcMar>
              <w:top w:w="110" w:type="dxa"/>
              <w:start w:w="120" w:type="dxa"/>
              <w:bottom w:w="110" w:type="dxa"/>
              <w:end w:w="120" w:type="dxa"/>
            </w:tcMar>
            <w:vAlign w:val="center"/>
            <w:shd w:fill="F5F8FA"/>
          </w:tcPr>
          <w:p>
            <w:pPr>
              <w:spacing w:after="0" w:line="252" w:lineRule="auto"/>
            </w:pPr>
            <w:r>
              <w:rPr>
                <w:sz w:val="18"/>
              </w:rPr>
              <w:t>Modelo híbrido que aprende a combinar predicciones de varios estimadores.</w:t>
            </w:r>
          </w:p>
        </w:tc>
      </w:tr>
      <w:tr>
        <w:tc>
          <w:tcPr>
            <w:tcW w:type="dxa" w:w="2088"/>
            <w:tcMar>
              <w:top w:w="110" w:type="dxa"/>
              <w:start w:w="120" w:type="dxa"/>
              <w:bottom w:w="110" w:type="dxa"/>
              <w:end w:w="120" w:type="dxa"/>
            </w:tcMar>
            <w:vAlign w:val="center"/>
          </w:tcPr>
          <w:p>
            <w:pPr>
              <w:spacing w:after="0" w:line="252" w:lineRule="auto"/>
            </w:pPr>
            <w:r>
              <w:rPr>
                <w:sz w:val="18"/>
              </w:rPr>
              <w:t>Blending</w:t>
            </w:r>
          </w:p>
        </w:tc>
        <w:tc>
          <w:tcPr>
            <w:tcW w:type="dxa" w:w="7704"/>
            <w:tcMar>
              <w:top w:w="110" w:type="dxa"/>
              <w:start w:w="120" w:type="dxa"/>
              <w:bottom w:w="110" w:type="dxa"/>
              <w:end w:w="120" w:type="dxa"/>
            </w:tcMar>
            <w:vAlign w:val="center"/>
          </w:tcPr>
          <w:p>
            <w:pPr>
              <w:spacing w:after="0" w:line="252" w:lineRule="auto"/>
            </w:pPr>
            <w:r>
              <w:rPr>
                <w:sz w:val="18"/>
              </w:rPr>
              <w:t>Ensamble híbrido que pondera modelos a partir de un conjunto de validación.</w:t>
            </w:r>
          </w:p>
        </w:tc>
      </w:tr>
    </w:tbl>
    <w:p>
      <w:pPr>
        <w:spacing w:after="0"/>
      </w:pPr>
    </w:p>
    <w:p>
      <w:pPr>
        <w:pStyle w:val="Heading2"/>
      </w:pPr>
      <w:r>
        <w:t>6.3 Evaluación estadística</w:t>
      </w:r>
    </w:p>
    <w:p>
      <w:r>
        <w:t>El reporte incluye RMSE, MAE, R cuadrado y MAPE, validación cruzada y pruebas estadísticas como Friedman, Wilcoxon, t de Nadeau y Bengio, bootstrap, Shapiro Wilk y Breusch Pagan. Estas pruebas permiten comparar modelos y revisar supuestos sobre los residuos. En la última ejecución verificada se entrenaron cinco modelos con 2500 registros y XGBoost fue seleccionado como mejor modelo por el criterio configurado.</w:t>
      </w:r>
    </w:p>
    <w:p>
      <w:r>
        <w:br w:type="page"/>
      </w:r>
    </w:p>
    <w:p>
      <w:pPr>
        <w:pStyle w:val="Heading1"/>
      </w:pPr>
      <w:r>
        <w:t>7 Persistencia seguridad y trazabilidad</w:t>
      </w:r>
    </w:p>
    <w:p>
      <w:pPr>
        <w:pStyle w:val="Heading2"/>
      </w:pPr>
      <w:r>
        <w:t>7.1 Persistencia PostgreSQL</w:t>
      </w:r>
    </w:p>
    <w:p>
      <w:r>
        <w:t>FastAPI expone operaciones de listado, alta o actualización y eliminación para proyectos, sensores, Edge, Cloud, gemelos, factores de emisión, escenarios, usuarios y auditorías. SQLAlchemy almacena cada recurso con su tipo, identificador externo, proyecto asociado y contenido JSONB.</w:t>
      </w:r>
    </w:p>
    <w:p>
      <w:pPr>
        <w:pStyle w:val="Heading2"/>
      </w:pPr>
      <w:r>
        <w:t>7.2 Control de acceso</w:t>
      </w:r>
    </w:p>
    <w:p>
      <w:r>
        <w:t>La interfaz distingue los roles Administrador, Investigador o Analista y Consulta. El rol activo determina qué acciones de edición se muestran o permiten. Para un despliegue productivo se recomienda complementar este control visual con autenticación, autorización en cada endpoint y gestión segura de sesiones.</w:t>
      </w:r>
    </w:p>
    <w:p>
      <w:pPr>
        <w:pStyle w:val="Heading2"/>
      </w:pPr>
      <w:r>
        <w:t>7.3 Auditoría</w:t>
      </w:r>
    </w:p>
    <w:p>
      <w:r>
        <w:t>El registro de auditoría conserva fecha, usuario, acción, entidad, detalle e información de origen cuando está disponible. Las exportaciones y modificaciones relevantes generan entradas que facilitan reconstruir qué se hizo y sobre qué recurso.</w:t>
      </w:r>
    </w:p>
    <w:p>
      <w:pPr>
        <w:pStyle w:val="Heading2"/>
      </w:pPr>
      <w:r>
        <w:t>7.4 Protección de secretos</w:t>
      </w:r>
    </w:p>
    <w:p>
      <w:r>
        <w:t>Las credenciales de PostgreSQL y las claves de proveedores de IA se configuran mediante variables de entorno en el backend. No deben incluirse en informes, capturas, repositorios públicos ni código fuente. En documentación compartida se deben utilizar marcadores como &lt;contraseña&gt; y &lt;clave de API&gt;.</w:t>
      </w:r>
    </w:p>
    <w:p>
      <w:r>
        <w:br w:type="page"/>
      </w:r>
    </w:p>
    <w:p>
      <w:pPr>
        <w:pStyle w:val="Heading1"/>
      </w:pPr>
      <w:r>
        <w:t>8 Flujo de uso recomendado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88"/>
            <w:tcMar>
              <w:top w:w="25" w:type="dxa"/>
              <w:start w:w="0" w:type="dxa"/>
              <w:bottom w:w="45" w:type="dxa"/>
              <w:end w:w="45" w:type="dxa"/>
            </w:tcMar>
          </w:tcPr>
          <w:p>
            <w:pPr>
              <w:spacing w:after="0" w:line="259" w:lineRule="auto"/>
              <w:jc w:val="right"/>
            </w:pPr>
            <w:r>
              <w:rPr>
                <w:b/>
              </w:rPr>
              <w:t>1.</w:t>
            </w:r>
          </w:p>
        </w:tc>
        <w:tc>
          <w:tcPr>
            <w:tcW w:type="dxa" w:w="9432"/>
            <w:tcMar>
              <w:top w:w="25" w:type="dxa"/>
              <w:start w:w="0" w:type="dxa"/>
              <w:bottom w:w="45" w:type="dxa"/>
              <w:end w:w="0" w:type="dxa"/>
            </w:tcMar>
          </w:tcPr>
          <w:p>
            <w:pPr>
              <w:spacing w:after="0" w:line="259" w:lineRule="auto"/>
            </w:pPr>
            <w:r>
              <w:t>Crear o seleccionar el proyecto agrícola y revisar superficie, cultivo y periodo de análisis.</w:t>
            </w:r>
            <w:r>
              <w:br/>
            </w:r>
          </w:p>
        </w:tc>
      </w:tr>
      <w:tr>
        <w:tc>
          <w:tcPr>
            <w:tcW w:type="dxa" w:w="288"/>
            <w:tcMar>
              <w:top w:w="25" w:type="dxa"/>
              <w:start w:w="0" w:type="dxa"/>
              <w:bottom w:w="45" w:type="dxa"/>
              <w:end w:w="45" w:type="dxa"/>
            </w:tcMar>
          </w:tcPr>
          <w:p>
            <w:pPr>
              <w:spacing w:after="0" w:line="259" w:lineRule="auto"/>
              <w:jc w:val="right"/>
            </w:pPr>
            <w:r>
              <w:rPr>
                <w:b/>
              </w:rPr>
              <w:t>2.</w:t>
            </w:r>
          </w:p>
        </w:tc>
        <w:tc>
          <w:tcPr>
            <w:tcW w:type="dxa" w:w="9432"/>
            <w:tcMar>
              <w:top w:w="25" w:type="dxa"/>
              <w:start w:w="0" w:type="dxa"/>
              <w:bottom w:w="45" w:type="dxa"/>
              <w:end w:w="0" w:type="dxa"/>
            </w:tcMar>
          </w:tcPr>
          <w:p>
            <w:pPr>
              <w:spacing w:after="0" w:line="259" w:lineRule="auto"/>
            </w:pPr>
            <w:r>
              <w:t>Registrar sensores, nodos Edge y recursos Cloud con cantidades y consumos realistas.</w:t>
            </w:r>
            <w:r>
              <w:br/>
            </w:r>
          </w:p>
        </w:tc>
      </w:tr>
      <w:tr>
        <w:tc>
          <w:tcPr>
            <w:tcW w:type="dxa" w:w="288"/>
            <w:tcMar>
              <w:top w:w="25" w:type="dxa"/>
              <w:start w:w="0" w:type="dxa"/>
              <w:bottom w:w="45" w:type="dxa"/>
              <w:end w:w="45" w:type="dxa"/>
            </w:tcMar>
          </w:tcPr>
          <w:p>
            <w:pPr>
              <w:spacing w:after="0" w:line="259" w:lineRule="auto"/>
              <w:jc w:val="right"/>
            </w:pPr>
            <w:r>
              <w:rPr>
                <w:b/>
              </w:rPr>
              <w:t>3.</w:t>
            </w:r>
          </w:p>
        </w:tc>
        <w:tc>
          <w:tcPr>
            <w:tcW w:type="dxa" w:w="9432"/>
            <w:tcMar>
              <w:top w:w="25" w:type="dxa"/>
              <w:start w:w="0" w:type="dxa"/>
              <w:bottom w:w="45" w:type="dxa"/>
              <w:end w:w="0" w:type="dxa"/>
            </w:tcMar>
          </w:tcPr>
          <w:p>
            <w:pPr>
              <w:spacing w:after="0" w:line="259" w:lineRule="auto"/>
            </w:pPr>
            <w:r>
              <w:t>Definir los gemelos digitales, su frecuencia de sincronización y volumen de datos.</w:t>
            </w:r>
            <w:r>
              <w:br/>
            </w:r>
          </w:p>
        </w:tc>
      </w:tr>
      <w:tr>
        <w:tc>
          <w:tcPr>
            <w:tcW w:type="dxa" w:w="288"/>
            <w:tcMar>
              <w:top w:w="25" w:type="dxa"/>
              <w:start w:w="0" w:type="dxa"/>
              <w:bottom w:w="45" w:type="dxa"/>
              <w:end w:w="45" w:type="dxa"/>
            </w:tcMar>
          </w:tcPr>
          <w:p>
            <w:pPr>
              <w:spacing w:after="0" w:line="259" w:lineRule="auto"/>
              <w:jc w:val="right"/>
            </w:pPr>
            <w:r>
              <w:rPr>
                <w:b/>
              </w:rPr>
              <w:t>4.</w:t>
            </w:r>
          </w:p>
        </w:tc>
        <w:tc>
          <w:tcPr>
            <w:tcW w:type="dxa" w:w="9432"/>
            <w:tcMar>
              <w:top w:w="25" w:type="dxa"/>
              <w:start w:w="0" w:type="dxa"/>
              <w:bottom w:w="45" w:type="dxa"/>
              <w:end w:w="0" w:type="dxa"/>
            </w:tcMar>
          </w:tcPr>
          <w:p>
            <w:pPr>
              <w:spacing w:after="0" w:line="259" w:lineRule="auto"/>
            </w:pPr>
            <w:r>
              <w:t>Revisar y, si corresponde, actualizar los factores de emisión con su fuente técnica.</w:t>
            </w:r>
            <w:r>
              <w:br/>
            </w:r>
          </w:p>
        </w:tc>
      </w:tr>
      <w:tr>
        <w:tc>
          <w:tcPr>
            <w:tcW w:type="dxa" w:w="288"/>
            <w:tcMar>
              <w:top w:w="25" w:type="dxa"/>
              <w:start w:w="0" w:type="dxa"/>
              <w:bottom w:w="45" w:type="dxa"/>
              <w:end w:w="45" w:type="dxa"/>
            </w:tcMar>
          </w:tcPr>
          <w:p>
            <w:pPr>
              <w:spacing w:after="0" w:line="259" w:lineRule="auto"/>
              <w:jc w:val="right"/>
            </w:pPr>
            <w:r>
              <w:rPr>
                <w:b/>
              </w:rPr>
              <w:t>5.</w:t>
            </w:r>
          </w:p>
        </w:tc>
        <w:tc>
          <w:tcPr>
            <w:tcW w:type="dxa" w:w="9432"/>
            <w:tcMar>
              <w:top w:w="25" w:type="dxa"/>
              <w:start w:w="0" w:type="dxa"/>
              <w:bottom w:w="45" w:type="dxa"/>
              <w:end w:w="0" w:type="dxa"/>
            </w:tcMar>
          </w:tcPr>
          <w:p>
            <w:pPr>
              <w:spacing w:after="0" w:line="259" w:lineRule="auto"/>
            </w:pPr>
            <w:r>
              <w:t>Consultar el dashboard y el desglose del ciclo de vida para localizar los principales contribuyentes.</w:t>
            </w:r>
            <w:r>
              <w:br/>
            </w:r>
          </w:p>
        </w:tc>
      </w:tr>
      <w:tr>
        <w:tc>
          <w:tcPr>
            <w:tcW w:type="dxa" w:w="288"/>
            <w:tcMar>
              <w:top w:w="25" w:type="dxa"/>
              <w:start w:w="0" w:type="dxa"/>
              <w:bottom w:w="45" w:type="dxa"/>
              <w:end w:w="45" w:type="dxa"/>
            </w:tcMar>
          </w:tcPr>
          <w:p>
            <w:pPr>
              <w:spacing w:after="0" w:line="259" w:lineRule="auto"/>
              <w:jc w:val="right"/>
            </w:pPr>
            <w:r>
              <w:rPr>
                <w:b/>
              </w:rPr>
              <w:t>6.</w:t>
            </w:r>
          </w:p>
        </w:tc>
        <w:tc>
          <w:tcPr>
            <w:tcW w:type="dxa" w:w="9432"/>
            <w:tcMar>
              <w:top w:w="25" w:type="dxa"/>
              <w:start w:w="0" w:type="dxa"/>
              <w:bottom w:w="45" w:type="dxa"/>
              <w:end w:w="0" w:type="dxa"/>
            </w:tcMar>
          </w:tcPr>
          <w:p>
            <w:pPr>
              <w:spacing w:after="0" w:line="259" w:lineRule="auto"/>
            </w:pPr>
            <w:r>
              <w:t>Construir escenarios alternativos y comparar carbono, energía, coste y latencia.</w:t>
            </w:r>
            <w:r>
              <w:br/>
            </w:r>
          </w:p>
        </w:tc>
      </w:tr>
      <w:tr>
        <w:tc>
          <w:tcPr>
            <w:tcW w:type="dxa" w:w="288"/>
            <w:tcMar>
              <w:top w:w="25" w:type="dxa"/>
              <w:start w:w="0" w:type="dxa"/>
              <w:bottom w:w="45" w:type="dxa"/>
              <w:end w:w="45" w:type="dxa"/>
            </w:tcMar>
          </w:tcPr>
          <w:p>
            <w:pPr>
              <w:spacing w:after="0" w:line="259" w:lineRule="auto"/>
              <w:jc w:val="right"/>
            </w:pPr>
            <w:r>
              <w:rPr>
                <w:b/>
              </w:rPr>
              <w:t>7.</w:t>
            </w:r>
          </w:p>
        </w:tc>
        <w:tc>
          <w:tcPr>
            <w:tcW w:type="dxa" w:w="9432"/>
            <w:tcMar>
              <w:top w:w="25" w:type="dxa"/>
              <w:start w:w="0" w:type="dxa"/>
              <w:bottom w:w="45" w:type="dxa"/>
              <w:end w:w="0" w:type="dxa"/>
            </w:tcMar>
          </w:tcPr>
          <w:p>
            <w:pPr>
              <w:spacing w:after="0" w:line="259" w:lineRule="auto"/>
            </w:pPr>
            <w:r>
              <w:t>Usar el asistente IA como apoyo para formular medidas de reducción verificables.</w:t>
            </w:r>
            <w:r>
              <w:br/>
            </w:r>
          </w:p>
        </w:tc>
      </w:tr>
      <w:tr>
        <w:tc>
          <w:tcPr>
            <w:tcW w:type="dxa" w:w="288"/>
            <w:tcMar>
              <w:top w:w="25" w:type="dxa"/>
              <w:start w:w="0" w:type="dxa"/>
              <w:bottom w:w="45" w:type="dxa"/>
              <w:end w:w="45" w:type="dxa"/>
            </w:tcMar>
          </w:tcPr>
          <w:p>
            <w:pPr>
              <w:spacing w:after="0" w:line="259" w:lineRule="auto"/>
              <w:jc w:val="right"/>
            </w:pPr>
            <w:r>
              <w:rPr>
                <w:b/>
              </w:rPr>
              <w:t>8.</w:t>
            </w:r>
          </w:p>
        </w:tc>
        <w:tc>
          <w:tcPr>
            <w:tcW w:type="dxa" w:w="9432"/>
            <w:tcMar>
              <w:top w:w="25" w:type="dxa"/>
              <w:start w:w="0" w:type="dxa"/>
              <w:bottom w:w="45" w:type="dxa"/>
              <w:end w:w="0" w:type="dxa"/>
            </w:tcMar>
          </w:tcPr>
          <w:p>
            <w:pPr>
              <w:spacing w:after="0" w:line="259" w:lineRule="auto"/>
            </w:pPr>
            <w:r>
              <w:t>Ejecutar el pipeline ML cuando se necesite una estimación predictiva o comparar algoritmos.</w:t>
            </w:r>
            <w:r>
              <w:br/>
            </w:r>
          </w:p>
        </w:tc>
      </w:tr>
      <w:tr>
        <w:tc>
          <w:tcPr>
            <w:tcW w:type="dxa" w:w="288"/>
            <w:tcMar>
              <w:top w:w="25" w:type="dxa"/>
              <w:start w:w="0" w:type="dxa"/>
              <w:bottom w:w="45" w:type="dxa"/>
              <w:end w:w="45" w:type="dxa"/>
            </w:tcMar>
          </w:tcPr>
          <w:p>
            <w:pPr>
              <w:spacing w:after="0" w:line="259" w:lineRule="auto"/>
              <w:jc w:val="right"/>
            </w:pPr>
            <w:r>
              <w:rPr>
                <w:b/>
              </w:rPr>
              <w:t>9.</w:t>
            </w:r>
          </w:p>
        </w:tc>
        <w:tc>
          <w:tcPr>
            <w:tcW w:type="dxa" w:w="9432"/>
            <w:tcMar>
              <w:top w:w="25" w:type="dxa"/>
              <w:start w:w="0" w:type="dxa"/>
              <w:bottom w:w="45" w:type="dxa"/>
              <w:end w:w="0" w:type="dxa"/>
            </w:tcMar>
          </w:tcPr>
          <w:p>
            <w:pPr>
              <w:spacing w:after="0" w:line="259" w:lineRule="auto"/>
            </w:pPr>
            <w:r>
              <w:t>Exportar el informe y revisar el registro de auditoría antes de cerrar el análisis.</w:t>
            </w:r>
            <w:r>
              <w:br/>
            </w:r>
          </w:p>
        </w:tc>
      </w:tr>
    </w:tbl>
    <w:p>
      <w:pPr>
        <w:spacing w:after="0"/>
      </w:pPr>
    </w:p>
    <w:p>
      <w:pPr>
        <w:pStyle w:val="Heading2"/>
      </w:pPr>
      <w:r>
        <w:t>8.1 Interpretación prudente</w:t>
      </w:r>
    </w:p>
    <w:p>
      <w:r>
        <w:t>Los resultados dependen de la calidad de los datos de inventario y de los factores de emisión. Las cifras deben entenderse como estimaciones técnicas del alcance modelado, no como una certificación ambiental automática. Para decisiones formales se recomienda documentar fuentes, año de referencia, límites del sistema y supuestos.</w:t>
      </w:r>
    </w:p>
    <w:p>
      <w:r>
        <w:br w:type="page"/>
      </w:r>
    </w:p>
    <w:p>
      <w:pPr>
        <w:pStyle w:val="Heading1"/>
      </w:pPr>
      <w:r>
        <w:t>9 Puesta en marcha sin Docker</w:t>
      </w:r>
    </w:p>
    <w:p>
      <w:pPr>
        <w:spacing w:after="0" w:line="20" w:lineRule="exact"/>
      </w:pPr>
    </w:p>
    <w:p>
      <w:r>
        <w:t>El proyecto se ejecuta directamente sobre Windows, Node.js, Python y PostgreSQL. No requiere Docker.</w:t>
      </w:r>
    </w:p>
    <w:p>
      <w:pPr>
        <w:pStyle w:val="Heading2"/>
      </w:pPr>
      <w:r>
        <w:t>9.1 Frontend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88"/>
            <w:tcMar>
              <w:top w:w="25" w:type="dxa"/>
              <w:start w:w="0" w:type="dxa"/>
              <w:bottom w:w="45" w:type="dxa"/>
              <w:end w:w="45" w:type="dxa"/>
            </w:tcMar>
          </w:tcPr>
          <w:p>
            <w:pPr>
              <w:spacing w:after="0" w:line="259" w:lineRule="auto"/>
              <w:jc w:val="right"/>
            </w:pPr>
            <w:r>
              <w:rPr>
                <w:b/>
              </w:rPr>
              <w:t>1.</w:t>
            </w:r>
          </w:p>
        </w:tc>
        <w:tc>
          <w:tcPr>
            <w:tcW w:type="dxa" w:w="9432"/>
            <w:tcMar>
              <w:top w:w="25" w:type="dxa"/>
              <w:start w:w="0" w:type="dxa"/>
              <w:bottom w:w="45" w:type="dxa"/>
              <w:end w:w="0" w:type="dxa"/>
            </w:tcMar>
          </w:tcPr>
          <w:p>
            <w:pPr>
              <w:spacing w:after="0" w:line="259" w:lineRule="auto"/>
            </w:pPr>
            <w:r>
              <w:t>Abrir PowerShell en la carpeta raíz del proyecto.</w:t>
            </w:r>
            <w:r>
              <w:br/>
            </w:r>
          </w:p>
        </w:tc>
      </w:tr>
      <w:tr>
        <w:tc>
          <w:tcPr>
            <w:tcW w:type="dxa" w:w="288"/>
            <w:tcMar>
              <w:top w:w="25" w:type="dxa"/>
              <w:start w:w="0" w:type="dxa"/>
              <w:bottom w:w="45" w:type="dxa"/>
              <w:end w:w="45" w:type="dxa"/>
            </w:tcMar>
          </w:tcPr>
          <w:p>
            <w:pPr>
              <w:spacing w:after="0" w:line="259" w:lineRule="auto"/>
              <w:jc w:val="right"/>
            </w:pPr>
            <w:r>
              <w:rPr>
                <w:b/>
              </w:rPr>
              <w:t>2.</w:t>
            </w:r>
          </w:p>
        </w:tc>
        <w:tc>
          <w:tcPr>
            <w:tcW w:type="dxa" w:w="9432"/>
            <w:tcMar>
              <w:top w:w="25" w:type="dxa"/>
              <w:start w:w="0" w:type="dxa"/>
              <w:bottom w:w="45" w:type="dxa"/>
              <w:end w:w="0" w:type="dxa"/>
            </w:tcMar>
          </w:tcPr>
          <w:p>
            <w:pPr>
              <w:spacing w:after="0" w:line="259" w:lineRule="auto"/>
            </w:pPr>
            <w:r>
              <w:t>Instalar dependencias con npm install.</w:t>
            </w:r>
            <w:r>
              <w:br/>
            </w:r>
          </w:p>
        </w:tc>
      </w:tr>
      <w:tr>
        <w:tc>
          <w:tcPr>
            <w:tcW w:type="dxa" w:w="288"/>
            <w:tcMar>
              <w:top w:w="25" w:type="dxa"/>
              <w:start w:w="0" w:type="dxa"/>
              <w:bottom w:w="45" w:type="dxa"/>
              <w:end w:w="45" w:type="dxa"/>
            </w:tcMar>
          </w:tcPr>
          <w:p>
            <w:pPr>
              <w:spacing w:after="0" w:line="259" w:lineRule="auto"/>
              <w:jc w:val="right"/>
            </w:pPr>
            <w:r>
              <w:rPr>
                <w:b/>
              </w:rPr>
              <w:t>3.</w:t>
            </w:r>
          </w:p>
        </w:tc>
        <w:tc>
          <w:tcPr>
            <w:tcW w:type="dxa" w:w="9432"/>
            <w:tcMar>
              <w:top w:w="25" w:type="dxa"/>
              <w:start w:w="0" w:type="dxa"/>
              <w:bottom w:w="45" w:type="dxa"/>
              <w:end w:w="0" w:type="dxa"/>
            </w:tcMar>
          </w:tcPr>
          <w:p>
            <w:pPr>
              <w:spacing w:after="0" w:line="259" w:lineRule="auto"/>
            </w:pPr>
            <w:r>
              <w:t>Iniciar Next.js con npm run dev.</w:t>
            </w:r>
            <w:r>
              <w:br/>
            </w:r>
          </w:p>
        </w:tc>
      </w:tr>
      <w:tr>
        <w:tc>
          <w:tcPr>
            <w:tcW w:type="dxa" w:w="288"/>
            <w:tcMar>
              <w:top w:w="25" w:type="dxa"/>
              <w:start w:w="0" w:type="dxa"/>
              <w:bottom w:w="45" w:type="dxa"/>
              <w:end w:w="45" w:type="dxa"/>
            </w:tcMar>
          </w:tcPr>
          <w:p>
            <w:pPr>
              <w:spacing w:after="0" w:line="259" w:lineRule="auto"/>
              <w:jc w:val="right"/>
            </w:pPr>
            <w:r>
              <w:rPr>
                <w:b/>
              </w:rPr>
              <w:t>4.</w:t>
            </w:r>
          </w:p>
        </w:tc>
        <w:tc>
          <w:tcPr>
            <w:tcW w:type="dxa" w:w="9432"/>
            <w:tcMar>
              <w:top w:w="25" w:type="dxa"/>
              <w:start w:w="0" w:type="dxa"/>
              <w:bottom w:w="45" w:type="dxa"/>
              <w:end w:w="0" w:type="dxa"/>
            </w:tcMar>
          </w:tcPr>
          <w:p>
            <w:pPr>
              <w:spacing w:after="0" w:line="259" w:lineRule="auto"/>
            </w:pPr>
            <w:r>
              <w:t>Abrir http://localhost:3000 en el navegador.</w:t>
            </w:r>
            <w:r>
              <w:br/>
            </w:r>
          </w:p>
        </w:tc>
      </w:tr>
    </w:tbl>
    <w:p>
      <w:pPr>
        <w:spacing w:after="0"/>
      </w:pPr>
    </w:p>
    <w:p>
      <w:pPr>
        <w:pStyle w:val="Heading2"/>
      </w:pPr>
      <w:r>
        <w:t>9.2 Backend</w:t>
      </w:r>
    </w:p>
    <w:p>
      <w:pPr>
        <w:spacing w:after="0" w:line="2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88"/>
            <w:tcMar>
              <w:top w:w="25" w:type="dxa"/>
              <w:start w:w="0" w:type="dxa"/>
              <w:bottom w:w="45" w:type="dxa"/>
              <w:end w:w="45" w:type="dxa"/>
            </w:tcMar>
          </w:tcPr>
          <w:p>
            <w:pPr>
              <w:spacing w:after="0" w:line="259" w:lineRule="auto"/>
              <w:jc w:val="right"/>
            </w:pPr>
            <w:r>
              <w:rPr>
                <w:b/>
              </w:rPr>
              <w:t>1.</w:t>
            </w:r>
          </w:p>
        </w:tc>
        <w:tc>
          <w:tcPr>
            <w:tcW w:type="dxa" w:w="9432"/>
            <w:tcMar>
              <w:top w:w="25" w:type="dxa"/>
              <w:start w:w="0" w:type="dxa"/>
              <w:bottom w:w="45" w:type="dxa"/>
              <w:end w:w="0" w:type="dxa"/>
            </w:tcMar>
          </w:tcPr>
          <w:p>
            <w:pPr>
              <w:spacing w:after="0" w:line="259" w:lineRule="auto"/>
            </w:pPr>
            <w:r>
              <w:t>Entrar en la carpeta backend.</w:t>
            </w:r>
            <w:r>
              <w:br/>
            </w:r>
          </w:p>
        </w:tc>
      </w:tr>
      <w:tr>
        <w:tc>
          <w:tcPr>
            <w:tcW w:type="dxa" w:w="288"/>
            <w:tcMar>
              <w:top w:w="25" w:type="dxa"/>
              <w:start w:w="0" w:type="dxa"/>
              <w:bottom w:w="45" w:type="dxa"/>
              <w:end w:w="45" w:type="dxa"/>
            </w:tcMar>
          </w:tcPr>
          <w:p>
            <w:pPr>
              <w:spacing w:after="0" w:line="259" w:lineRule="auto"/>
              <w:jc w:val="right"/>
            </w:pPr>
            <w:r>
              <w:rPr>
                <w:b/>
              </w:rPr>
              <w:t>2.</w:t>
            </w:r>
          </w:p>
        </w:tc>
        <w:tc>
          <w:tcPr>
            <w:tcW w:type="dxa" w:w="9432"/>
            <w:tcMar>
              <w:top w:w="25" w:type="dxa"/>
              <w:start w:w="0" w:type="dxa"/>
              <w:bottom w:w="45" w:type="dxa"/>
              <w:end w:w="0" w:type="dxa"/>
            </w:tcMar>
          </w:tcPr>
          <w:p>
            <w:pPr>
              <w:spacing w:after="0" w:line="259" w:lineRule="auto"/>
            </w:pPr>
            <w:r>
              <w:t>Crear un entorno con python -m venv .venv.</w:t>
            </w:r>
            <w:r>
              <w:br/>
            </w:r>
          </w:p>
        </w:tc>
      </w:tr>
      <w:tr>
        <w:tc>
          <w:tcPr>
            <w:tcW w:type="dxa" w:w="288"/>
            <w:tcMar>
              <w:top w:w="25" w:type="dxa"/>
              <w:start w:w="0" w:type="dxa"/>
              <w:bottom w:w="45" w:type="dxa"/>
              <w:end w:w="45" w:type="dxa"/>
            </w:tcMar>
          </w:tcPr>
          <w:p>
            <w:pPr>
              <w:spacing w:after="0" w:line="259" w:lineRule="auto"/>
              <w:jc w:val="right"/>
            </w:pPr>
            <w:r>
              <w:rPr>
                <w:b/>
              </w:rPr>
              <w:t>3.</w:t>
            </w:r>
          </w:p>
        </w:tc>
        <w:tc>
          <w:tcPr>
            <w:tcW w:type="dxa" w:w="9432"/>
            <w:tcMar>
              <w:top w:w="25" w:type="dxa"/>
              <w:start w:w="0" w:type="dxa"/>
              <w:bottom w:w="45" w:type="dxa"/>
              <w:end w:w="0" w:type="dxa"/>
            </w:tcMar>
          </w:tcPr>
          <w:p>
            <w:pPr>
              <w:spacing w:after="0" w:line="259" w:lineRule="auto"/>
            </w:pPr>
            <w:r>
              <w:t>Activarlo con .venv\Scripts\Activate.ps1.</w:t>
            </w:r>
            <w:r>
              <w:br/>
            </w:r>
          </w:p>
        </w:tc>
      </w:tr>
      <w:tr>
        <w:tc>
          <w:tcPr>
            <w:tcW w:type="dxa" w:w="288"/>
            <w:tcMar>
              <w:top w:w="25" w:type="dxa"/>
              <w:start w:w="0" w:type="dxa"/>
              <w:bottom w:w="45" w:type="dxa"/>
              <w:end w:w="45" w:type="dxa"/>
            </w:tcMar>
          </w:tcPr>
          <w:p>
            <w:pPr>
              <w:spacing w:after="0" w:line="259" w:lineRule="auto"/>
              <w:jc w:val="right"/>
            </w:pPr>
            <w:r>
              <w:rPr>
                <w:b/>
              </w:rPr>
              <w:t>4.</w:t>
            </w:r>
          </w:p>
        </w:tc>
        <w:tc>
          <w:tcPr>
            <w:tcW w:type="dxa" w:w="9432"/>
            <w:tcMar>
              <w:top w:w="25" w:type="dxa"/>
              <w:start w:w="0" w:type="dxa"/>
              <w:bottom w:w="45" w:type="dxa"/>
              <w:end w:w="0" w:type="dxa"/>
            </w:tcMar>
          </w:tcPr>
          <w:p>
            <w:pPr>
              <w:spacing w:after="0" w:line="259" w:lineRule="auto"/>
            </w:pPr>
            <w:r>
              <w:t>Instalar dependencias con pip install -r requirements.txt.</w:t>
            </w:r>
            <w:r>
              <w:br/>
            </w:r>
          </w:p>
        </w:tc>
      </w:tr>
      <w:tr>
        <w:tc>
          <w:tcPr>
            <w:tcW w:type="dxa" w:w="288"/>
            <w:tcMar>
              <w:top w:w="25" w:type="dxa"/>
              <w:start w:w="0" w:type="dxa"/>
              <w:bottom w:w="45" w:type="dxa"/>
              <w:end w:w="45" w:type="dxa"/>
            </w:tcMar>
          </w:tcPr>
          <w:p>
            <w:pPr>
              <w:spacing w:after="0" w:line="259" w:lineRule="auto"/>
              <w:jc w:val="right"/>
            </w:pPr>
            <w:r>
              <w:rPr>
                <w:b/>
              </w:rPr>
              <w:t>5.</w:t>
            </w:r>
          </w:p>
        </w:tc>
        <w:tc>
          <w:tcPr>
            <w:tcW w:type="dxa" w:w="9432"/>
            <w:tcMar>
              <w:top w:w="25" w:type="dxa"/>
              <w:start w:w="0" w:type="dxa"/>
              <w:bottom w:w="45" w:type="dxa"/>
              <w:end w:w="0" w:type="dxa"/>
            </w:tcMar>
          </w:tcPr>
          <w:p>
            <w:pPr>
              <w:spacing w:after="0" w:line="259" w:lineRule="auto"/>
            </w:pPr>
            <w:r>
              <w:t>Configurar DATABASE_URL en backend/.env usando la contraseña real fuera del documento.</w:t>
            </w:r>
            <w:r>
              <w:br/>
            </w:r>
          </w:p>
        </w:tc>
      </w:tr>
      <w:tr>
        <w:tc>
          <w:tcPr>
            <w:tcW w:type="dxa" w:w="288"/>
            <w:tcMar>
              <w:top w:w="25" w:type="dxa"/>
              <w:start w:w="0" w:type="dxa"/>
              <w:bottom w:w="45" w:type="dxa"/>
              <w:end w:w="45" w:type="dxa"/>
            </w:tcMar>
          </w:tcPr>
          <w:p>
            <w:pPr>
              <w:spacing w:after="0" w:line="259" w:lineRule="auto"/>
              <w:jc w:val="right"/>
            </w:pPr>
            <w:r>
              <w:rPr>
                <w:b/>
              </w:rPr>
              <w:t>6.</w:t>
            </w:r>
          </w:p>
        </w:tc>
        <w:tc>
          <w:tcPr>
            <w:tcW w:type="dxa" w:w="9432"/>
            <w:tcMar>
              <w:top w:w="25" w:type="dxa"/>
              <w:start w:w="0" w:type="dxa"/>
              <w:bottom w:w="45" w:type="dxa"/>
              <w:end w:w="0" w:type="dxa"/>
            </w:tcMar>
          </w:tcPr>
          <w:p>
            <w:pPr>
              <w:spacing w:after="0" w:line="259" w:lineRule="auto"/>
            </w:pPr>
            <w:r>
              <w:t>Iniciar la API con python -m uvicorn app.main:app --reload --port 8000.</w:t>
            </w:r>
            <w:r>
              <w:br/>
            </w:r>
          </w:p>
        </w:tc>
      </w:tr>
    </w:tbl>
    <w:p>
      <w:pPr>
        <w:spacing w:after="0"/>
      </w:pPr>
    </w:p>
    <w:p>
      <w:pPr>
        <w:pStyle w:val="Heading2"/>
      </w:pPr>
      <w:r>
        <w:t>9.3 Base de datos y servicios adicionales</w:t>
      </w:r>
    </w:p>
    <w:p>
      <w:pPr>
        <w:pStyle w:val="ListBullet"/>
      </w:pPr>
      <w:r>
        <w:t>PostgreSQL debe estar iniciado y la base indicada en DATABASE_URL debe existir.</w:t>
      </w:r>
    </w:p>
    <w:p>
      <w:pPr>
        <w:pStyle w:val="ListBullet"/>
      </w:pPr>
      <w:r>
        <w:t>npm run db:seed comprueba y añade registros iniciales que falten sin sobrescribir los existentes.</w:t>
      </w:r>
    </w:p>
    <w:p>
      <w:pPr>
        <w:pStyle w:val="ListBullet"/>
      </w:pPr>
      <w:r>
        <w:t>npm run ml:lab abre el laboratorio Streamlit en el puerto 8501 si están instaladas sus dependencias.</w:t>
      </w:r>
    </w:p>
    <w:p>
      <w:pPr>
        <w:pStyle w:val="ListBullet"/>
      </w:pPr>
      <w:r>
        <w:t>La documentación interactiva de FastAPI queda disponible en http://localhost:8000/docs.</w:t>
      </w:r>
    </w:p>
    <w:p>
      <w:r>
        <w:br w:type="page"/>
      </w:r>
    </w:p>
    <w:p>
      <w:pPr>
        <w:pStyle w:val="Heading1"/>
      </w:pPr>
      <w:r>
        <w:t>10 Alcance actual y conclusiones</w:t>
      </w:r>
    </w:p>
    <w:p>
      <w:r>
        <w:t>Carbon Twin cubre el ciclo funcional completo de una herramienta de análisis: captura de inventario, persistencia, cálculo, visualización, simulación, recomendación, predicción y exportación. El visor 3D aporta una lectura espacial de la telemetría; el motor LCA convierte el inventario en indicadores ambientales; y los módulos de IA y ML permiten explorar medidas de mejora y patrones predictivos.</w:t>
      </w:r>
    </w:p>
    <w:p>
      <w:r>
        <w:t>La aplicación es adecuada como plataforma académica, prototipo avanzado y base para un producto de gestión ambiental agrícola. Antes de un uso productivo con múltiples organizaciones conviene añadir autenticación robusta, permisos aplicados en backend, migraciones de base de datos, pruebas automatizadas y monitorización.</w:t>
      </w:r>
    </w:p>
    <w:p>
      <w:pPr>
        <w:pStyle w:val="Heading2"/>
      </w:pPr>
      <w:r>
        <w:t>10.1 Resultado esperado</w:t>
      </w:r>
    </w:p>
    <w:p>
      <w:r>
        <w:t>Al finalizar un análisis, el usuario dispone de una huella total en kg CO2e, indicadores por hectárea y día, consumo energético, distribución por tecnología, desglose por etapa, comparación de escenarios, recomendaciones y archivos exportables. Todo queda vinculado al proyecto activo y respaldado por persistencia y auditoría.</w:t>
      </w:r>
    </w:p>
    <w:p>
      <w:pPr>
        <w:pStyle w:val="Heading2"/>
      </w:pPr>
      <w:r>
        <w:t>10.2 Criterios para considerar un análisis completo</w:t>
      </w:r>
    </w:p>
    <w:p>
      <w:pPr>
        <w:pStyle w:val="ListBullet"/>
      </w:pPr>
      <w:r>
        <w:t>El inventario incluye todos los equipos y recursos digitales relevantes.</w:t>
      </w:r>
    </w:p>
    <w:p>
      <w:pPr>
        <w:pStyle w:val="ListBullet"/>
      </w:pPr>
      <w:r>
        <w:t>Los factores de emisión tienen unidad, fuente y periodo de referencia identificables.</w:t>
      </w:r>
    </w:p>
    <w:p>
      <w:pPr>
        <w:pStyle w:val="ListBullet"/>
      </w:pPr>
      <w:r>
        <w:t>El horizonte temporal y los límites del sistema están definidos.</w:t>
      </w:r>
    </w:p>
    <w:p>
      <w:pPr>
        <w:pStyle w:val="ListBullet"/>
      </w:pPr>
      <w:r>
        <w:t>Se ha revisado al menos un escenario alternativo de reducción.</w:t>
      </w:r>
    </w:p>
    <w:p>
      <w:pPr>
        <w:pStyle w:val="ListBullet"/>
      </w:pPr>
      <w:r>
        <w:t>Las recomendaciones se han contrastado con restricciones técnicas y productivas.</w:t>
      </w:r>
    </w:p>
    <w:p>
      <w:pPr>
        <w:pStyle w:val="ListBullet"/>
      </w:pPr>
      <w:r>
        <w:t>El informe exportado coincide con el proyecto y los datos visibles en el dashboard.</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E78"/>
        <w:sz w:val="16"/>
      </w:rPr>
      <w:t xml:space="preserve">AP 9 Carbon Twin   Documento funcional   </w:t>
    </w:r>
    <w: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4C56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0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val="0"/>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val="0"/>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4C566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4C566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del sistema Carbon Twin</dc:title>
  <dc:subject>Análisis del coste de carbono de gemelos digitales agrícolas</dc:subject>
  <dc:creator>AP 9 Carbon Twin</dc:creator>
  <cp:keywords>gemelo digital, carbono, agricultura, FastAPI, Next.js, PostgreSQL, LCA</cp:keywords>
  <dc:description>generated by python-docx</dc:description>
  <cp:lastModifiedBy/>
  <cp:revision>1</cp:revision>
  <dcterms:created xsi:type="dcterms:W3CDTF">2013-12-23T23:15:00Z</dcterms:created>
  <dcterms:modified xsi:type="dcterms:W3CDTF">2013-12-23T23:15:00Z</dcterms:modified>
  <cp:category/>
</cp:coreProperties>
</file>