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0" w:right="0" w:firstLine="0"/>
        <w:jc w:val="center"/>
        <w:rPr>
          <w:rFonts w:ascii="Kozuka Gothic Pro B" w:cs="Kozuka Gothic Pro B" w:eastAsia="Kozuka Gothic Pro B" w:hAnsi="Kozuka Gothic Pro B"/>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zuka Gothic Pro B" w:cs="Kozuka Gothic Pro B" w:eastAsia="Kozuka Gothic Pro B" w:hAnsi="Kozuka Gothic Pro B"/>
          <w:sz w:val="24"/>
          <w:szCs w:val="24"/>
        </w:rPr>
      </w:pPr>
      <w:r>
        <w:t>AP-9: Evaluación reproducible de la huella de carbono de gemelos digitales agrícolas en arquitecturas Edge y Cloud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zuka Gothic Pro B" w:cs="Kozuka Gothic Pro B" w:eastAsia="Kozuka Gothic Pro B" w:hAnsi="Kozuka Gothic Pro B"/>
          <w:sz w:val="24"/>
          <w:szCs w:val="24"/>
        </w:rPr>
      </w:pPr>
      <w:bookmarkStart w:colFirst="0" w:colLast="0" w:name="_heading=h.s6ra4m79xplq"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zuka Gothic Pro B" w:cs="Kozuka Gothic Pro B" w:eastAsia="Kozuka Gothic Pro B" w:hAnsi="Kozuka Gothic Pro 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zuka Gothic Pro B" w:cs="Kozuka Gothic Pro B" w:eastAsia="Kozuka Gothic Pro B" w:hAnsi="Kozuka Gothic Pro B"/>
          <w:i w:val="1"/>
          <w:iCs w:val="1"/>
          <w:color w:val="0070c0"/>
          <w:sz w:val="24"/>
          <w:szCs w:val="24"/>
        </w:rPr>
      </w:pPr>
      <w:r>
        <w:t>AP-9: Reproducible Carbon Footprint Assessment of Agricultural Digital Twins in Edge and Cloud Architectures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ozuka Gothic Pro B" w:cs="Kozuka Gothic Pro B" w:eastAsia="Kozuka Gothic Pro B" w:hAnsi="Kozuka Gothic Pro B"/>
          <w:color w:val="0070c0"/>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10" w:lineRule="auto"/>
        <w:ind w:left="480" w:right="48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10" w:lineRule="auto"/>
        <w:ind w:left="480" w:right="48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10" w:lineRule="auto"/>
        <w:ind w:left="480" w:right="48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10" w:lineRule="auto"/>
        <w:ind w:left="480" w:right="480" w:firstLine="0"/>
        <w:jc w:val="both"/>
        <w:rPr>
          <w:rFonts w:ascii="Helvetica Neue" w:cs="Helvetica Neue" w:eastAsia="Helvetica Neue" w:hAnsi="Helvetica Neue"/>
          <w:sz w:val="18"/>
          <w:szCs w:val="18"/>
        </w:rPr>
      </w:pPr>
      <w:r>
        <w:t>Resumen— Se evalúa AP-9, una plataforma de análisis de ciclo de vida para estimar la huella de carbono de gemelos digitales agrícolas en las capas de sensores IoT, Edge y Cloud. Se ejecutó una simulación reproducible con semilla 42, 30 sensores, 10 ha y un horizonte de tres años. Las arquitecturas Cloud-heavy, híbrida y Edge-heavy generaron 1665,68; 852,03; y 626,25 kg CO2e, respectivamente; la variante Edge-heavy alimentada con energía solar alcanzó 547,41 kg CO2e, una reducción de 67,14 % frente a Cloud-heavy. Con 2500 registros sintéticos, XGBoost obtuvo el menor RMSE medio de validación cruzada (2602,38 ± 838,19 kg CO2e); Stacking no difirió significativamente de XGBoost. Los resultados cumplen el criterio operativo de reducción de 40 % bajo los supuestos deterministas del motor y muestran el predominio de la carga Cloud en el impacto operativo.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10" w:lineRule="auto"/>
        <w:ind w:left="480" w:right="480" w:firstLine="0"/>
        <w:jc w:val="both"/>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480" w:right="480" w:firstLine="0"/>
        <w:jc w:val="left"/>
        <w:rPr>
          <w:rFonts w:ascii="Helvetica Neue" w:cs="Helvetica Neue" w:eastAsia="Helvetica Neue" w:hAnsi="Helvetica Neue"/>
          <w:sz w:val="18"/>
          <w:szCs w:val="18"/>
        </w:rPr>
      </w:pPr>
      <w:r>
        <w:t>Palabras clave: análisis de ciclo de vida, agricultura de precisión, computación Edge, gemelos digitales, huella de carbono.</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480" w:firstLine="0"/>
        <w:rPr>
          <w:rFonts w:ascii="Helvetica Neue" w:cs="Helvetica Neue" w:eastAsia="Helvetica Neue" w:hAnsi="Helvetica Neue"/>
          <w:color w:val="0070c0"/>
          <w:sz w:val="18"/>
          <w:szCs w:val="18"/>
        </w:rPr>
      </w:pPr>
      <w:r>
        <w:t>Abstract— This work evaluates AP-9, a life-cycle assessment platform that estimates the carbon footprint of agricultural digital twins across IoT sensor, Edge and Cloud layers. A reproducible simulation using seed 42, 30 sensors, 10 ha and a three-year horizon was executed. Cloud-heavy, hybrid and Edge-heavy architectures produced 1665.68, 852.03 and 626.25 kg CO2e, respectively; solar-powered Edge-heavy reached 547.41 kg CO2e, a 67.14 % reduction versus Cloud-heavy. With 2500 synthetic records, XGBoost achieved the lowest mean cross-validation RMSE (2602.38 ± 838.19 kg CO2e); Stacking did not differ significantly from XGBoost. The results meet the operational 40 % reduction criterion under deterministic engine assumptions and show that Cloud workload dominates operational impact.</w:t>
      </w:r>
    </w:p>
    <w:p w:rsidR="00000000" w:rsidDel="00000000" w:rsidP="00000000" w:rsidRDefault="00000000" w:rsidRPr="00000000" w14:paraId="0000002B">
      <w:pPr>
        <w:ind w:left="480" w:firstLine="0"/>
        <w:rPr>
          <w:rFonts w:ascii="Helvetica Neue" w:cs="Helvetica Neue" w:eastAsia="Helvetica Neue" w:hAnsi="Helvetica Neue"/>
          <w:color w:val="0070c0"/>
          <w:sz w:val="18"/>
          <w:szCs w:val="18"/>
        </w:rPr>
      </w:pPr>
      <w:r w:rsidDel="00000000" w:rsidR="00000000" w:rsidRPr="00000000">
        <w:rPr>
          <w:rtl w:val="0"/>
        </w:rPr>
      </w:r>
    </w:p>
    <w:p w:rsidR="00000000" w:rsidDel="00000000" w:rsidP="00000000" w:rsidRDefault="00000000" w:rsidRPr="00000000" w14:paraId="0000002C">
      <w:pPr>
        <w:ind w:left="960" w:firstLine="0"/>
        <w:rPr>
          <w:rFonts w:ascii="Helvetica Neue" w:cs="Helvetica Neue" w:eastAsia="Helvetica Neue" w:hAnsi="Helvetica Neue"/>
          <w:color w:val="0070c0"/>
          <w:sz w:val="18"/>
          <w:szCs w:val="18"/>
        </w:rPr>
      </w:pPr>
      <w:r w:rsidDel="00000000" w:rsidR="00000000" w:rsidRPr="00000000">
        <w:rPr>
          <w:rtl w:val="0"/>
        </w:rPr>
      </w:r>
    </w:p>
    <w:p w:rsidR="00000000" w:rsidDel="00000000" w:rsidP="00000000" w:rsidRDefault="00000000" w:rsidRPr="00000000" w14:paraId="0000002D">
      <w:pPr>
        <w:ind w:left="480" w:firstLine="0"/>
        <w:rPr>
          <w:rFonts w:ascii="Helvetica Neue" w:cs="Helvetica Neue" w:eastAsia="Helvetica Neue" w:hAnsi="Helvetica Neue"/>
          <w:color w:val="0070c0"/>
          <w:sz w:val="18"/>
          <w:szCs w:val="18"/>
        </w:rPr>
      </w:pPr>
      <w:r>
        <w:t>Keywords: carbon footprint, digital twins, Edge computing, life-cycle assessment, precision agriculture.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ectPr>
          <w:headerReference r:id="rId13" w:type="default"/>
          <w:headerReference r:id="rId14" w:type="even"/>
          <w:footerReference r:id="rId15" w:type="default"/>
          <w:footerReference r:id="rId16" w:type="first"/>
          <w:footerReference r:id="rId17" w:type="even"/>
          <w:headerReference w:type="first" r:id="rId19"/>
          <w:pgSz w:h="16838" w:w="11906" w:orient="portrait"/>
          <w:pgMar w:bottom="1134" w:top="567" w:left="720" w:right="720" w:header="607" w:footer="284"/>
          <w:pgNumType w:start="1"/>
          <w:titlePg w:val="1"/>
        </w:sectPr>
      </w:pPr>
      <w:r w:rsidDel="00000000" w:rsidR="00000000" w:rsidRPr="00000000">
        <w:rPr>
          <w:rtl w:val="0"/>
        </w:rPr>
      </w:r>
    </w:p>
    <w:p w:rsidR="00000000" w:rsidDel="00000000" w:rsidP="00000000" w:rsidRDefault="00000000" w:rsidRPr="00000000" w14:paraId="00000032">
      <w:pPr>
        <w:pStyle w:val="Heading1"/>
        <w:numPr>
          <w:ilvl w:val="0"/>
          <w:numId w:val="2"/>
        </w:numPr>
        <w:spacing w:before="200" w:lineRule="auto"/>
        <w:ind w:left="720" w:hanging="360"/>
        <w:rPr>
          <w:rFonts w:ascii="Book Antiqua" w:cs="Book Antiqua" w:eastAsia="Book Antiqua" w:hAnsi="Book Antiqua"/>
          <w:color w:val="000000"/>
          <w:sz w:val="22"/>
          <w:szCs w:val="22"/>
        </w:rPr>
      </w:pPr>
      <w:r w:rsidDel="00000000" w:rsidR="00000000" w:rsidRPr="00000000">
        <w:rPr>
          <w:rFonts w:ascii="Book Antiqua" w:cs="Book Antiqua" w:eastAsia="Book Antiqua" w:hAnsi="Book Antiqua"/>
          <w:color w:val="000000"/>
          <w:sz w:val="22"/>
          <w:szCs w:val="22"/>
          <w:rtl w:val="0"/>
        </w:rPr>
        <w:t xml:space="preserve">Introducción</w:t>
      </w:r>
    </w:p>
    <w:p w:rsidR="00000000" w:rsidDel="00000000" w:rsidP="00000000" w:rsidRDefault="00000000" w:rsidRPr="00000000" w14:paraId="00000033">
      <w:pPr>
        <w:spacing w:after="160" w:line="264" w:lineRule="auto"/>
        <w:ind w:firstLine="34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34">
      <w:pPr>
        <w:spacing w:after="160" w:line="264" w:lineRule="auto"/>
        <w:ind w:firstLine="340"/>
        <w:rPr>
          <w:rFonts w:ascii="Book Antiqua" w:cs="Book Antiqua" w:eastAsia="Book Antiqua" w:hAnsi="Book Antiqua"/>
          <w:sz w:val="20"/>
          <w:szCs w:val="20"/>
        </w:rPr>
      </w:pPr>
      <w:r>
        <w:t>Los gemelos digitales agrícolas integran sensores, comunicaciones, procesamiento local y servicios Cloud para representar una parcela y apoyar decisiones de riego, fertilización o cosecha [18]. Esta infraestructura puede mejorar la disponibilidad de información, pero también incorpora emisiones de fabricación, transporte, operación y fin de vida. Por ello, una evaluación ambiental no debe limitarse a la electricidad consumida durante el uso [1], [2].</w:t>
      </w:r>
    </w:p>
    <w:p w:rsidR="00000000" w:rsidDel="00000000" w:rsidP="00000000" w:rsidRDefault="00000000" w:rsidRPr="00000000" w14:paraId="00000035">
      <w:pPr>
        <w:spacing w:after="160" w:line="264" w:lineRule="auto"/>
        <w:ind w:firstLine="34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36">
      <w:pPr>
        <w:spacing w:after="160" w:line="264" w:lineRule="auto"/>
        <w:ind w:firstLine="340"/>
        <w:rPr>
          <w:rFonts w:ascii="Book Antiqua" w:cs="Book Antiqua" w:eastAsia="Book Antiqua" w:hAnsi="Book Antiqua"/>
          <w:sz w:val="20"/>
          <w:szCs w:val="20"/>
        </w:rPr>
      </w:pPr>
      <w:r>
        <w:t>Aunque existen métodos ascendentes para estimar la huella de dispositivos IoT y estudios que relacionan digitalización y análisis de ciclo de vida [1]–[3], [7], [11]–[17], persiste una brecha: faltan evaluaciones reproducibles que comparen, bajo una misma carga funcional, cómo la distribución del cómputo entre Edge y Cloud modifica la huella de un gemelo digital agrícola. La contribución de este trabajo es AP-9, un artefacto de software que integra un inventario explícito por capa, un motor parametrizable de ACV y un módulo predictivo para explorar configuraciones antes del despliegue.</w:t>
      </w:r>
    </w:p>
    <w:p w:rsidR="00000000" w:rsidDel="00000000" w:rsidP="00000000" w:rsidRDefault="00000000" w:rsidRPr="00000000" w14:paraId="00000037">
      <w:pPr>
        <w:spacing w:after="160" w:line="264" w:lineRule="auto"/>
        <w:ind w:firstLine="34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38">
      <w:pPr>
        <w:spacing w:after="160" w:line="264" w:lineRule="auto"/>
        <w:ind w:firstLine="340"/>
        <w:rPr>
          <w:rFonts w:ascii="Book Antiqua" w:cs="Book Antiqua" w:eastAsia="Book Antiqua" w:hAnsi="Book Antiqua"/>
          <w:sz w:val="20"/>
          <w:szCs w:val="20"/>
        </w:rPr>
      </w:pPr>
      <w:r>
        <w:t>El estudio diferencia tres aportes: (i) una comparación determinista de cuatro arquitecturas funcionalmente equivalentes; (ii) un desglose de impacto por etapa y capa que permite identificar decisiones de diseño sensibles; y (iii) una evaluación de modelos de aprendizaje automático sobre un conjunto sintético generado por reglas del motor. No se afirma que el modelo predictivo valide un fenómeno agrícola independiente: evalúa su capacidad de aproximar el generador implementado.</w:t>
      </w:r>
    </w:p>
    <w:p w:rsidR="00000000" w:rsidDel="00000000" w:rsidP="00000000" w:rsidRDefault="00000000" w:rsidRPr="00000000" w14:paraId="00000039">
      <w:pPr>
        <w:spacing w:after="160" w:line="264" w:lineRule="auto"/>
        <w:ind w:firstLine="34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3A">
      <w:pPr>
        <w:spacing w:after="160" w:line="264" w:lineRule="auto"/>
        <w:ind w:firstLine="340"/>
        <w:rPr>
          <w:rFonts w:ascii="Book Antiqua" w:cs="Book Antiqua" w:eastAsia="Book Antiqua" w:hAnsi="Book Antiqua"/>
          <w:sz w:val="20"/>
          <w:szCs w:val="20"/>
        </w:rPr>
      </w:pPr>
      <w:r>
        <w:t>Se plantean tres preguntas de investigación: RQ1: ¿una arquitectura Edge-heavy reduce al menos 40 % la huella total frente a Cloud-heavy, manteniendo el inventario de sensores, área y horizonte temporal? RQ2: ¿qué etapas y parámetros concentran el impacto en los escenarios simulados? RQ3: ¿qué modelo estima con menor error la huella generada por AP-9? La hipótesis H1, definida antes de la ejecución, establece que Edge-heavy reducirá al menos 40 % respecto a Cloud-heavy. Estas preguntas se responden mediante simulación reproducible; sus conclusiones se limitan a los supuestos y factores configurados.</w:t>
      </w:r>
    </w:p>
    <w:p w:rsidR="00000000" w:rsidDel="00000000" w:rsidP="00000000" w:rsidRDefault="00000000" w:rsidRPr="00000000" w14:paraId="0000003B">
      <w:pPr>
        <w:spacing w:after="160" w:line="264" w:lineRule="auto"/>
        <w:ind w:firstLine="34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3C">
      <w:pPr>
        <w:spacing w:after="160" w:line="264" w:lineRule="auto"/>
        <w:ind w:firstLine="340"/>
        <w:rPr>
          <w:rFonts w:ascii="Book Antiqua" w:cs="Book Antiqua" w:eastAsia="Book Antiqua" w:hAnsi="Book Antiqua"/>
          <w:sz w:val="20"/>
          <w:szCs w:val="20"/>
        </w:rPr>
      </w:pPr>
      <w:r>
        <w:t>El resto del artículo describe el método experimental y el motor de ACV, presenta los resultados por arquitectura y por modelo predictivo, discute las amenazas a la validez y delimita el alcance de las conclusiones.</w:t>
      </w:r>
    </w:p>
    <w:p w:rsidR="00000000" w:rsidDel="00000000" w:rsidP="00000000" w:rsidRDefault="00000000" w:rsidRPr="00000000" w14:paraId="0000003D">
      <w:pPr>
        <w:pStyle w:val="Heading1"/>
        <w:numPr>
          <w:ilvl w:val="0"/>
          <w:numId w:val="2"/>
        </w:numPr>
        <w:spacing w:before="200" w:lineRule="auto"/>
        <w:ind w:left="284"/>
        <w:rPr>
          <w:rFonts w:ascii="Book Antiqua" w:cs="Book Antiqua" w:eastAsia="Book Antiqua" w:hAnsi="Book Antiqua"/>
          <w:b w:val="1"/>
          <w:bCs w:val="1"/>
          <w:smallCaps w:val="1"/>
          <w:sz w:val="22"/>
          <w:szCs w:val="22"/>
        </w:rPr>
      </w:pPr>
      <w:bookmarkStart w:colFirst="0" w:colLast="0" w:name="_heading=h.nmh2wrjk7ttb" w:id="2"/>
      <w:bookmarkEnd w:id="2"/>
      <w:r w:rsidDel="00000000" w:rsidR="00000000" w:rsidRPr="00000000">
        <w:rPr>
          <w:rFonts w:ascii="Book Antiqua" w:cs="Book Antiqua" w:eastAsia="Book Antiqua" w:hAnsi="Book Antiqua"/>
          <w:sz w:val="22"/>
          <w:szCs w:val="22"/>
          <w:rtl w:val="0"/>
        </w:rPr>
        <w:t xml:space="preserve">Metodología</w:t>
      </w:r>
      <w:r w:rsidDel="00000000" w:rsidR="00000000" w:rsidRPr="00000000">
        <w:rPr>
          <w:rtl w:val="0"/>
        </w:rPr>
      </w:r>
    </w:p>
    <w:p w:rsidR="00000000" w:rsidDel="00000000" w:rsidP="00000000" w:rsidRDefault="00000000" w:rsidRPr="00000000" w14:paraId="0000003E">
      <w:pPr>
        <w:spacing w:after="160" w:line="264" w:lineRule="auto"/>
        <w:ind w:firstLine="34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3F">
      <w:pPr>
        <w:spacing w:after="160" w:line="264" w:lineRule="auto"/>
        <w:ind w:firstLine="34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40">
      <w:pPr>
        <w:spacing w:after="160" w:line="264" w:lineRule="auto"/>
        <w:ind w:firstLine="34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41">
      <w:pPr>
        <w:spacing w:after="160" w:line="264" w:lineRule="auto"/>
        <w:ind w:firstLine="34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42">
      <w:pPr>
        <w:pStyle w:val="Heading1"/>
        <w:spacing w:before="200" w:lineRule="auto"/>
        <w:ind w:left="0" w:firstLine="0"/>
        <w:rPr>
          <w:rFonts w:ascii="Book Antiqua" w:cs="Book Antiqua" w:eastAsia="Book Antiqua" w:hAnsi="Book Antiqua"/>
          <w:color w:val="000000"/>
          <w:sz w:val="22"/>
          <w:szCs w:val="22"/>
        </w:rPr>
        <w:sectPr>
          <w:type w:val="continuous"/>
          <w:pgSz w:h="16838" w:w="11906" w:orient="portrait"/>
          <w:pgMar w:bottom="1134" w:top="1560" w:left="720" w:right="720" w:header="607" w:footer="640"/>
          <w:cols w:equalWidth="0" w:num="2">
            <w:col w:space="240" w:w="5113"/>
            <w:col w:space="0" w:w="5113"/>
          </w:cols>
        </w:sectPr>
      </w:pPr>
      <w:r w:rsidDel="00000000" w:rsidR="00000000" w:rsidRPr="00000000">
        <w:rPr>
          <w:rtl w:val="0"/>
        </w:rPr>
      </w:r>
    </w:p>
    <w:p w:rsidR="00000000" w:rsidDel="00000000" w:rsidP="00000000" w:rsidRDefault="00000000" w:rsidRPr="00000000" w14:paraId="00000043">
      <w:pPr>
        <w:pStyle w:val="Heading2"/>
        <w:ind w:left="0" w:firstLine="0"/>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2.1 </w:t>
      </w:r>
      <w:r w:rsidDel="00000000" w:rsidR="00000000" w:rsidRPr="00000000">
        <w:rPr>
          <w:rFonts w:ascii="Times New Roman" w:cs="Times New Roman" w:eastAsia="Times New Roman" w:hAnsi="Times New Roman"/>
          <w:rtl w:val="0"/>
        </w:rPr>
        <w:t xml:space="preserve">Enfoque y alcance del estudio</w:t>
      </w:r>
      <w:r w:rsidDel="00000000" w:rsidR="00000000" w:rsidRPr="00000000">
        <w:rPr>
          <w:rFonts w:ascii="Book Antiqua" w:cs="Book Antiqua" w:eastAsia="Book Antiqua" w:hAnsi="Book Antiqua"/>
          <w:rtl w:val="0"/>
        </w:rPr>
        <w:t xml:space="preserve"> </w:t>
      </w:r>
      <w:r w:rsidDel="00000000" w:rsidR="00000000" w:rsidRPr="00000000">
        <w:rPr>
          <w:rtl w:val="0"/>
        </w:rPr>
      </w:r>
    </w:p>
    <w:p w:rsidR="00000000" w:rsidDel="00000000" w:rsidP="00000000" w:rsidRDefault="00000000" w:rsidRPr="00000000" w14:paraId="00000044">
      <w:pPr>
        <w:spacing w:after="160" w:line="264" w:lineRule="auto"/>
        <w:ind w:firstLine="340"/>
        <w:rPr>
          <w:rFonts w:ascii="Book Antiqua" w:cs="Book Antiqua" w:eastAsia="Book Antiqua" w:hAnsi="Book Antiqua"/>
          <w:sz w:val="20"/>
          <w:szCs w:val="20"/>
        </w:rPr>
      </w:pPr>
      <w:r>
        <w:t>Este trabajo es una investigación aplicada de desarrollo y evaluación de software mediante simulación. Se creó el proyecto experimental EXP-AP9-42 y se fijó la semilla aleatoria 42. Se compararon cuatro configuraciones con 30 sensores, 10 ha y un horizonte de tres años: Cloud-heavy, híbrida, Edge-heavy sin energía solar y Edge-heavy con energía solar. Todas conservaron el inventario de sensores, el área, el horizonte temporal y el servicio funcional del gemelo; solo variaron la asignación de recursos Edge/Cloud y la alimentación de los nodos locales. Esta configuración es un caso de estudio y no representa todos los despliegues agrícolas.</w:t>
      </w:r>
    </w:p>
    <w:p w:rsidR="00000000" w:rsidDel="00000000" w:rsidP="00000000" w:rsidRDefault="00000000" w:rsidRPr="00000000" w14:paraId="00000045">
      <w:pPr>
        <w:pStyle w:val="Heading2"/>
        <w:ind w:left="0" w:firstLine="0"/>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2.2 </w:t>
      </w:r>
      <w:r w:rsidDel="00000000" w:rsidR="00000000" w:rsidRPr="00000000">
        <w:rPr>
          <w:rFonts w:ascii="Book Antiqua" w:cs="Book Antiqua" w:eastAsia="Book Antiqua" w:hAnsi="Book Antiqua"/>
          <w:rtl w:val="0"/>
        </w:rPr>
        <w:t xml:space="preserve">Arquitectura tecnológica del sistema AP-9</w:t>
      </w:r>
      <w:r w:rsidDel="00000000" w:rsidR="00000000" w:rsidRPr="00000000">
        <w:rPr>
          <w:rtl w:val="0"/>
        </w:rPr>
      </w:r>
    </w:p>
    <w:p w:rsidR="00000000" w:rsidDel="00000000" w:rsidP="00000000" w:rsidRDefault="00000000" w:rsidRPr="00000000" w14:paraId="00000046">
      <w:pPr>
        <w:spacing w:after="160" w:line="264" w:lineRule="auto"/>
        <w:rPr>
          <w:rFonts w:ascii="Book Antiqua" w:cs="Book Antiqua" w:eastAsia="Book Antiqua" w:hAnsi="Book Antiqua"/>
          <w:sz w:val="20"/>
          <w:szCs w:val="20"/>
        </w:rPr>
      </w:pPr>
      <w:r>
        <w:t>AP-9 se organiza en una interfaz de configuración, una API que ejecuta el motor de ACV y el pipeline predictivo, y una capa de persistencia para inventarios, factores, escenarios y resultados. La implementación separa los módulos de cálculo, simulación y visualización para que cada escenario pueda volver a ejecutarse con los mismos parámetros y semilla. Esta separación es coherente con el procesamiento distribuido Edge-Cloud [4], [7].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0" w:firstLine="0"/>
        <w:jc w:val="both"/>
        <w:rPr>
          <w:rFonts w:ascii="Book Antiqua" w:cs="Book Antiqua" w:eastAsia="Book Antiqua" w:hAnsi="Book Antiqua"/>
          <w:sz w:val="20"/>
          <w:szCs w:val="20"/>
        </w:rPr>
      </w:pPr>
      <w:r>
        <w:t>La comparabilidad se asegura manteniendo constante la funcionalidad evaluada: monitorización de 10 ha durante tres años con el mismo inventario de sensorización. No se comparan beneficios agronómicos, rendimiento del cultivo ni emisiones directas de fertilización, riego o metano; el límite del sistema corresponde a la infraestructura digital que soporta el gemelo.</w:t>
      </w:r>
    </w:p>
    <w:p w:rsidR="00000000" w:rsidDel="00000000" w:rsidP="00000000" w:rsidRDefault="00000000" w:rsidRPr="00000000" w14:paraId="00000048">
      <w:pPr>
        <w:pStyle w:val="Heading2"/>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2.3</w:t>
        <w:tab/>
      </w:r>
      <w:r w:rsidDel="00000000" w:rsidR="00000000" w:rsidRPr="00000000">
        <w:rPr>
          <w:rFonts w:ascii="Times New Roman" w:cs="Times New Roman" w:eastAsia="Times New Roman" w:hAnsi="Times New Roman"/>
          <w:rtl w:val="0"/>
        </w:rPr>
        <w:t xml:space="preserve">Motor de análisis de ciclo de vida (LCA)</w:t>
      </w:r>
      <w:r w:rsidDel="00000000" w:rsidR="00000000" w:rsidRPr="00000000">
        <w:rPr>
          <w:rFonts w:ascii="Book Antiqua" w:cs="Book Antiqua" w:eastAsia="Book Antiqua" w:hAnsi="Book Antiqua"/>
          <w:rtl w:val="0"/>
        </w:rPr>
        <w:t xml:space="preserve"> </w:t>
      </w:r>
      <w:r w:rsidDel="00000000" w:rsidR="00000000" w:rsidRPr="00000000">
        <w:rPr>
          <w:rtl w:val="0"/>
        </w:rPr>
      </w:r>
    </w:p>
    <w:p w:rsidR="00000000" w:rsidDel="00000000" w:rsidP="00000000" w:rsidRDefault="00000000" w:rsidRPr="00000000" w14:paraId="00000049">
      <w:pPr>
        <w:spacing w:after="160" w:line="264" w:lineRule="auto"/>
        <w:rPr>
          <w:rFonts w:ascii="Book Antiqua" w:cs="Book Antiqua" w:eastAsia="Book Antiqua" w:hAnsi="Book Antiqua"/>
          <w:sz w:val="20"/>
          <w:szCs w:val="20"/>
        </w:rPr>
      </w:pPr>
      <w:r>
        <w:t>El objetivo del ACV es comparar la huella de carbono de alternativas de infraestructura digital para una unidad funcional definida como la monitorización de 10 ha durante tres años. Los límites incluyen fabricación, transporte, instalación, operación y fin de vida de sensores, nodos Edge y recursos Cloud asignados al servicio. El cálculo sigue una estructura compatible con las fases de objetivo y alcance, inventario, evaluación de impacto e interpretación de ISO 14040 e ISO 14044 [8], [9], y con prácticas de contabilidad de gases de efecto invernadero [10], sin afirmar una certificación ISO. Para cada componente se calcula E_total = E_fabricación + E_transporte + E_instalación + E_operación + E_fin_de_vida. La Tabla 1 muestra los factores por defecto; deben mantenerse trazables a su fuente y fecha de consulta en la versión de envío.</w:t>
      </w:r>
    </w:p>
    <w:p w:rsidR="00000000" w:rsidDel="00000000" w:rsidP="00000000" w:rsidRDefault="00000000" w:rsidRPr="00000000" w14:paraId="0000004A">
      <w:pPr>
        <w:spacing w:after="200" w:before="100" w:line="252.00000000000003" w:lineRule="auto"/>
        <w:rPr>
          <w:rFonts w:ascii="Book Antiqua" w:cs="Book Antiqua" w:eastAsia="Book Antiqua" w:hAnsi="Book Antiqua"/>
          <w:i w:val="1"/>
          <w:iCs w:val="1"/>
          <w:sz w:val="18"/>
          <w:szCs w:val="18"/>
        </w:rPr>
      </w:pPr>
      <w:r>
        <w:t>Tabla 1. Factores por defecto empleados en el motor de ACV de AP-9</w:t>
      </w:r>
    </w:p>
    <w:tbl>
      <w:tblPr>
        <w:tblStyle w:val="Table2"/>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750"/>
        <w:gridCol w:w="1560"/>
        <w:tblGridChange w:id="0">
          <w:tblGrid>
            <w:gridCol w:w="2490"/>
            <w:gridCol w:w="750"/>
            <w:gridCol w:w="1560"/>
          </w:tblGrid>
        </w:tblGridChange>
      </w:tblGrid>
      <w:tr>
        <w:trPr>
          <w:cantSplit w:val="0"/>
          <w:trHeight w:val="330" w:hRule="atLeast"/>
          <w:tblHeader w:val="0"/>
        </w:trPr>
        <w:tc>
          <w:tcPr>
            <w:tcBorders>
              <w:top w:color="999999" w:space="0" w:sz="5" w:val="single"/>
              <w:left w:color="999999" w:space="0" w:sz="5" w:val="single"/>
              <w:bottom w:color="999999" w:space="0" w:sz="5" w:val="single"/>
              <w:right w:color="999999" w:space="0" w:sz="5"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4B">
            <w:pPr>
              <w:spacing w:line="252.00000000000003" w:lineRule="auto" w:after="40"/>
              <w:rPr>
                <w:rFonts w:ascii="Book Antiqua" w:cs="Book Antiqua" w:eastAsia="Book Antiqua" w:hAnsi="Book Antiqua"/>
                <w:b w:val="1"/>
                <w:bCs w:val="1"/>
                <w:sz w:val="18"/>
                <w:szCs w:val="18"/>
              </w:rPr>
            </w:pPr>
            <w:r w:rsidDel="00000000" w:rsidR="00000000" w:rsidRPr="00000000">
              <w:rPr>
                <w:rFonts w:ascii="Arial" w:cs="Book Antiqua" w:eastAsia="Book Antiqua" w:hAnsi="Arial"/>
                <w:b w:val="1"/>
                <w:bCs w:val="1"/>
                <w:sz w:val="18"/>
                <w:szCs w:val="18"/>
                <w:rtl w:val="0"/>
              </w:rPr>
              <w:t xml:space="preserve">Categoría</w:t>
            </w:r>
          </w:p>
        </w:tc>
        <w:tc>
          <w:tcPr>
            <w:tcBorders>
              <w:top w:color="999999" w:space="0" w:sz="5" w:val="single"/>
              <w:left w:color="000000" w:space="0" w:sz="0" w:val="nil"/>
              <w:bottom w:color="999999" w:space="0" w:sz="5" w:val="single"/>
              <w:right w:color="999999" w:space="0" w:sz="5"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4C">
            <w:pPr>
              <w:spacing w:line="252.00000000000003" w:lineRule="auto" w:after="40"/>
              <w:jc w:val="center"/>
              <w:rPr>
                <w:rFonts w:ascii="Book Antiqua" w:cs="Book Antiqua" w:eastAsia="Book Antiqua" w:hAnsi="Book Antiqua"/>
                <w:b w:val="1"/>
                <w:bCs w:val="1"/>
                <w:sz w:val="18"/>
                <w:szCs w:val="18"/>
              </w:rPr>
            </w:pPr>
            <w:r w:rsidDel="00000000" w:rsidR="00000000" w:rsidRPr="00000000">
              <w:rPr>
                <w:rFonts w:ascii="Arial" w:cs="Book Antiqua" w:eastAsia="Book Antiqua" w:hAnsi="Arial"/>
                <w:b w:val="1"/>
                <w:bCs w:val="1"/>
                <w:sz w:val="18"/>
                <w:szCs w:val="18"/>
                <w:rtl w:val="0"/>
              </w:rPr>
              <w:t xml:space="preserve">Valor</w:t>
            </w:r>
          </w:p>
        </w:tc>
        <w:tc>
          <w:tcPr>
            <w:tcBorders>
              <w:top w:color="999999" w:space="0" w:sz="5" w:val="single"/>
              <w:left w:color="000000" w:space="0" w:sz="0" w:val="nil"/>
              <w:bottom w:color="999999" w:space="0" w:sz="5" w:val="single"/>
              <w:right w:color="999999" w:space="0" w:sz="5"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4D">
            <w:pPr>
              <w:spacing w:line="252.00000000000003" w:lineRule="auto" w:after="40"/>
              <w:rPr>
                <w:rFonts w:ascii="Book Antiqua" w:cs="Book Antiqua" w:eastAsia="Book Antiqua" w:hAnsi="Book Antiqua"/>
                <w:b w:val="1"/>
                <w:bCs w:val="1"/>
                <w:sz w:val="18"/>
                <w:szCs w:val="18"/>
              </w:rPr>
            </w:pPr>
            <w:r w:rsidDel="00000000" w:rsidR="00000000" w:rsidRPr="00000000">
              <w:rPr>
                <w:rFonts w:ascii="Arial" w:cs="Book Antiqua" w:eastAsia="Book Antiqua" w:hAnsi="Arial"/>
                <w:b w:val="1"/>
                <w:bCs w:val="1"/>
                <w:sz w:val="18"/>
                <w:szCs w:val="18"/>
                <w:rtl w:val="0"/>
              </w:rPr>
              <w:t xml:space="preserve">Unidad</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4E">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Red eléctrica</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4F">
            <w:pPr>
              <w:spacing w:line="252.00000000000003" w:lineRule="auto"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0,150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0">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kgCO2e/kWh</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1">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Red solar local</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2">
            <w:pPr>
              <w:spacing w:line="252.00000000000003" w:lineRule="auto"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0,025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3">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kgCO2e/kWh</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4">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Sensor compacto (fab.)</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5">
            <w:pPr>
              <w:spacing w:line="252.00000000000003" w:lineRule="auto"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4,85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6">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kgCO2e/ud.</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7">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Sensor óptico (fab.)</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8">
            <w:pPr>
              <w:spacing w:line="252.00000000000003" w:lineRule="auto"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12,40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9">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kgCO2e/ud.</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A">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Edge Raspberry-class (fab.)</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B">
            <w:pPr>
              <w:spacing w:line="252.00000000000003" w:lineRule="auto"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18,50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C">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kgCO2e/ud.</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D">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Edge Jetson/acelerador (fab.)</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E">
            <w:pPr>
              <w:spacing w:line="252.00000000000003" w:lineRule="auto"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38,20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5F">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kgCO2e/ud.</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0">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Gateway industrial (fab.)</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1">
            <w:pPr>
              <w:spacing w:line="252.00000000000003" w:lineRule="auto"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29,80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2">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kgCO2e/ud.</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3">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Cómputo Cloud estándar</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4">
            <w:pPr>
              <w:spacing w:line="252.00000000000003" w:lineRule="auto"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0,0032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5">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kgCO2e/vCPU-h</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6">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Cómputo Cloud renovable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7">
            <w:pPr>
              <w:spacing w:line="252.00000000000003" w:lineRule="auto"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0,0006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8">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kgCO2e/vCPU-h</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9">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Almacenamiento Cloud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A">
            <w:pPr>
              <w:spacing w:line="252.00000000000003" w:lineRule="auto"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0,85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B">
            <w:pPr>
              <w:spacing w:line="252.00000000000003" w:lineRule="auto"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kgCO2e/TB-mes</w:t>
            </w:r>
          </w:p>
        </w:tc>
      </w:tr>
      <w:tr>
        <w:trPr>
          <w:cantSplit w:val="0"/>
          <w:trHeight w:val="330"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C">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Transporte terrestre</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D">
            <w:pPr>
              <w:spacing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0,125</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E">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kgCO2e/t·km</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6F">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Crédito reciclaje WEEE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70">
            <w:pPr>
              <w:spacing w:after="40"/>
              <w:jc w:val="center"/>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−1,80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71">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kgCO2e/kg</w:t>
            </w:r>
          </w:p>
        </w:tc>
      </w:tr>
    </w:tbl>
    <w:p w:rsidR="00000000" w:rsidDel="00000000" w:rsidP="00000000" w:rsidRDefault="00000000" w:rsidRPr="00000000" w14:paraId="00000072">
      <w:pPr>
        <w:spacing w:after="160" w:line="264" w:lineRule="auto"/>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73">
      <w:pPr>
        <w:spacing w:after="160" w:line="264" w:lineRule="auto"/>
        <w:rPr>
          <w:rFonts w:ascii="Book Antiqua" w:cs="Book Antiqua" w:eastAsia="Book Antiqua" w:hAnsi="Book Antiqua"/>
          <w:sz w:val="20"/>
          <w:szCs w:val="20"/>
        </w:rPr>
      </w:pPr>
      <w:r>
        <w:t>La operación Edge utiliza el factor de red o el factor solar configurado. En Cloud, el motor separa cómputo, almacenamiento y transferencia de datos; los recursos compartidos se prorratean según la asignación del escenario. El crédito WEEE se aplica una sola vez al componente dispuesto al fin de vida y no se combina con otro crédito de reciclaje. La validación manual de los tres casos de control presentó una diferencia fija de 25,50 kg CO2e, atribuida al componente fijo de red dedicada incluido por el motor; esta diferencia se declara para evitar interpretar la validación como coincidencia exacta.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0" w:firstLine="0"/>
        <w:jc w:val="both"/>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75">
      <w:pPr>
        <w:pStyle w:val="Heading2"/>
        <w:numPr>
          <w:ilvl w:val="1"/>
          <w:numId w:val="1"/>
        </w:numPr>
        <w:ind w:left="360" w:hanging="360"/>
        <w:rPr>
          <w:rFonts w:ascii="Book Antiqua" w:cs="Book Antiqua" w:eastAsia="Book Antiqua" w:hAnsi="Book Antiqua"/>
          <w:color w:val="000000"/>
        </w:rPr>
      </w:pPr>
      <w:r w:rsidDel="00000000" w:rsidR="00000000" w:rsidRPr="00000000">
        <w:rPr>
          <w:rFonts w:ascii="Times New Roman" w:cs="Times New Roman" w:eastAsia="Times New Roman" w:hAnsi="Times New Roman"/>
          <w:rtl w:val="0"/>
        </w:rPr>
        <w:t xml:space="preserve">Generación del conjunto de datos agronómico y modelado causal</w:t>
      </w:r>
      <w:r w:rsidDel="00000000" w:rsidR="00000000" w:rsidRPr="00000000">
        <w:rPr>
          <w:rFonts w:ascii="Book Antiqua" w:cs="Book Antiqua" w:eastAsia="Book Antiqua" w:hAnsi="Book Antiqua"/>
          <w:rtl w:val="0"/>
        </w:rPr>
        <w:t xml:space="preserve"> </w:t>
      </w:r>
      <w:r w:rsidDel="00000000" w:rsidR="00000000" w:rsidRPr="00000000">
        <w:rPr>
          <w:rtl w:val="0"/>
        </w:rPr>
      </w:r>
    </w:p>
    <w:p w:rsidR="00000000" w:rsidDel="00000000" w:rsidP="00000000" w:rsidRDefault="00000000" w:rsidRPr="00000000" w14:paraId="00000076">
      <w:pPr>
        <w:spacing w:after="160" w:line="264" w:lineRule="auto"/>
        <w:rPr>
          <w:rFonts w:ascii="Book Antiqua" w:cs="Book Antiqua" w:eastAsia="Book Antiqua" w:hAnsi="Book Antiqua"/>
          <w:sz w:val="20"/>
          <w:szCs w:val="20"/>
        </w:rPr>
      </w:pPr>
      <w:r>
        <w:t>Para evaluar el módulo predictivo se generaron 2500 instancias sintéticas con semilla 42 a partir de las variables de la Tabla 2. El generador toma rangos de configuración de sensores, Edge, Cloud, transmisión, resolución y duración, y aplica relaciones programadas del motor. Por tanto, estos datos no constituyen observaciones de campo ni se emplean para validar emisiones reales; permiten medir la fidelidad con que cada modelo aproxima el comportamiento del simulador. La generación sintética se declara explícitamente ante la escasez de datos operativos comparables y no sustituye una validación externa [5].</w:t>
      </w:r>
    </w:p>
    <w:p w:rsidR="00000000" w:rsidDel="00000000" w:rsidP="00000000" w:rsidRDefault="00000000" w:rsidRPr="00000000" w14:paraId="00000077">
      <w:pPr>
        <w:spacing w:after="200" w:before="10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i w:val="1"/>
          <w:iCs w:val="1"/>
          <w:sz w:val="18"/>
          <w:szCs w:val="18"/>
          <w:rtl w:val="0"/>
        </w:rPr>
        <w:t xml:space="preserve">Tabla 2. Variables predictoras del conjunto de datos sintético</w:t>
      </w:r>
      <w:r w:rsidDel="00000000" w:rsidR="00000000" w:rsidRPr="00000000">
        <w:rPr>
          <w:rtl w:val="0"/>
        </w:rPr>
      </w:r>
    </w:p>
    <w:p w:rsidR="00000000" w:rsidDel="00000000" w:rsidP="00000000" w:rsidRDefault="00000000" w:rsidRPr="00000000" w14:paraId="00000078">
      <w:pPr>
        <w:ind w:firstLine="240"/>
        <w:rPr>
          <w:rFonts w:ascii="Book Antiqua" w:cs="Book Antiqua" w:eastAsia="Book Antiqua" w:hAnsi="Book Antiqua"/>
          <w:sz w:val="20"/>
          <w:szCs w:val="20"/>
        </w:rPr>
      </w:pPr>
      <w:r w:rsidDel="00000000" w:rsidR="00000000" w:rsidRPr="00000000">
        <w:rPr>
          <w:rtl w:val="0"/>
        </w:rPr>
      </w:r>
    </w:p>
    <w:tbl>
      <w:tblPr>
        <w:tblStyle w:val="Table3"/>
        <w:tblW w:w="4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885"/>
        <w:gridCol w:w="2055"/>
        <w:tblGridChange w:id="0">
          <w:tblGrid>
            <w:gridCol w:w="1845"/>
            <w:gridCol w:w="885"/>
            <w:gridCol w:w="2055"/>
          </w:tblGrid>
        </w:tblGridChange>
      </w:tblGrid>
      <w:tr>
        <w:trPr>
          <w:cantSplit w:val="0"/>
          <w:trHeight w:val="330" w:hRule="atLeast"/>
          <w:tblHeader w:val="0"/>
        </w:trPr>
        <w:tc>
          <w:tcPr>
            <w:tcBorders>
              <w:top w:color="999999" w:space="0" w:sz="5" w:val="single"/>
              <w:left w:color="999999" w:space="0" w:sz="5" w:val="single"/>
              <w:bottom w:color="999999" w:space="0" w:sz="5" w:val="single"/>
              <w:right w:color="999999" w:space="0" w:sz="5"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79">
            <w:pPr>
              <w:spacing w:after="40"/>
              <w:rPr>
                <w:rFonts w:ascii="Book Antiqua" w:cs="Book Antiqua" w:eastAsia="Book Antiqua" w:hAnsi="Book Antiqua"/>
                <w:b w:val="1"/>
                <w:bCs w:val="1"/>
                <w:sz w:val="18"/>
                <w:szCs w:val="18"/>
              </w:rPr>
            </w:pPr>
            <w:r w:rsidDel="00000000" w:rsidR="00000000" w:rsidRPr="00000000">
              <w:rPr>
                <w:rFonts w:ascii="Arial" w:cs="Book Antiqua" w:eastAsia="Book Antiqua" w:hAnsi="Arial"/>
                <w:b w:val="1"/>
                <w:bCs w:val="1"/>
                <w:sz w:val="18"/>
                <w:szCs w:val="18"/>
                <w:rtl w:val="0"/>
              </w:rPr>
              <w:t xml:space="preserve">Variable</w:t>
            </w:r>
          </w:p>
        </w:tc>
        <w:tc>
          <w:tcPr>
            <w:tcBorders>
              <w:top w:color="999999" w:space="0" w:sz="5" w:val="single"/>
              <w:left w:color="000000" w:space="0" w:sz="0" w:val="nil"/>
              <w:bottom w:color="999999" w:space="0" w:sz="5" w:val="single"/>
              <w:right w:color="999999" w:space="0" w:sz="5"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7A">
            <w:pPr>
              <w:spacing w:after="40"/>
              <w:rPr>
                <w:rFonts w:ascii="Book Antiqua" w:cs="Book Antiqua" w:eastAsia="Book Antiqua" w:hAnsi="Book Antiqua"/>
                <w:b w:val="1"/>
                <w:bCs w:val="1"/>
                <w:sz w:val="18"/>
                <w:szCs w:val="18"/>
              </w:rPr>
            </w:pPr>
            <w:r w:rsidDel="00000000" w:rsidR="00000000" w:rsidRPr="00000000">
              <w:rPr>
                <w:rFonts w:ascii="Arial" w:cs="Book Antiqua" w:eastAsia="Book Antiqua" w:hAnsi="Arial"/>
                <w:b w:val="1"/>
                <w:bCs w:val="1"/>
                <w:sz w:val="18"/>
                <w:szCs w:val="18"/>
                <w:rtl w:val="0"/>
              </w:rPr>
              <w:t xml:space="preserve">Rango</w:t>
            </w:r>
          </w:p>
        </w:tc>
        <w:tc>
          <w:tcPr>
            <w:tcBorders>
              <w:top w:color="999999" w:space="0" w:sz="5" w:val="single"/>
              <w:left w:color="000000" w:space="0" w:sz="0" w:val="nil"/>
              <w:bottom w:color="999999" w:space="0" w:sz="5" w:val="single"/>
              <w:right w:color="999999" w:space="0" w:sz="5"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7B">
            <w:pPr>
              <w:spacing w:after="40"/>
              <w:rPr>
                <w:rFonts w:ascii="Book Antiqua" w:cs="Book Antiqua" w:eastAsia="Book Antiqua" w:hAnsi="Book Antiqua"/>
                <w:b w:val="1"/>
                <w:bCs w:val="1"/>
                <w:sz w:val="18"/>
                <w:szCs w:val="18"/>
              </w:rPr>
            </w:pPr>
            <w:r w:rsidDel="00000000" w:rsidR="00000000" w:rsidRPr="00000000">
              <w:rPr>
                <w:rFonts w:ascii="Arial" w:cs="Book Antiqua" w:eastAsia="Book Antiqua" w:hAnsi="Arial"/>
                <w:b w:val="1"/>
                <w:bCs w:val="1"/>
                <w:sz w:val="18"/>
                <w:szCs w:val="18"/>
                <w:rtl w:val="0"/>
              </w:rPr>
              <w:t xml:space="preserve">Descripción</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7C">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sensor_count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7D">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2 – 50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7E">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Nodos IoT en campo</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7F">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edge_count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0">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1 – 10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1">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Gateways locales</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2">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cloud_region_intensity</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3">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0,05 – 0,90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4">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kgCO2e/kWh de la red del datacenter</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5">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data_volume_gb_day</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6">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0,1 – 100,0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7">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Volumen diario (exponencial, λ=15)</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8">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transmission_freq_hz</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9">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0,001 – 10,0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A">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Frec. de sincronización IoT</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B">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model_resolution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C">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0,1 – 1,0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D">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Detalle poligonal del modelo 3D</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E">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crop_type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8F">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5 clases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90">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trigo, maíz, soja, arroz, tomate</w:t>
            </w:r>
          </w:p>
        </w:tc>
      </w:tr>
      <w:tr>
        <w:trPr>
          <w:cantSplit w:val="0"/>
          <w:trHeight w:val="54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91">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operation_days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92">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30 – 365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93">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Duración del ciclo de monitoreo</w:t>
            </w:r>
          </w:p>
        </w:tc>
      </w:tr>
      <w:tr>
        <w:trPr>
          <w:cantSplit w:val="0"/>
          <w:trHeight w:val="540"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94">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solar_powered</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95">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0 / 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center"/>
          </w:tcPr>
          <w:p w:rsidR="00000000" w:rsidDel="00000000" w:rsidP="00000000" w:rsidRDefault="00000000" w:rsidRPr="00000000" w14:paraId="00000096">
            <w:pPr>
              <w:spacing w:after="40"/>
              <w:rPr>
                <w:rFonts w:ascii="Book Antiqua" w:cs="Book Antiqua" w:eastAsia="Book Antiqua" w:hAnsi="Book Antiqua"/>
                <w:sz w:val="18"/>
                <w:szCs w:val="18"/>
              </w:rPr>
            </w:pPr>
            <w:r w:rsidDel="00000000" w:rsidR="00000000" w:rsidRPr="00000000">
              <w:rPr>
                <w:rFonts w:ascii="Arial" w:cs="Book Antiqua" w:eastAsia="Book Antiqua" w:hAnsi="Arial"/>
                <w:sz w:val="18"/>
                <w:szCs w:val="18"/>
                <w:rtl w:val="0"/>
              </w:rPr>
              <w:t xml:space="preserve">Autoconsumo solar en Edge</w:t>
            </w:r>
          </w:p>
        </w:tc>
      </w:tr>
    </w:tbl>
    <w:p w:rsidR="00000000" w:rsidDel="00000000" w:rsidP="00000000" w:rsidRDefault="00000000" w:rsidRPr="00000000" w14:paraId="00000097">
      <w:pPr>
        <w:spacing w:after="160" w:line="264" w:lineRule="auto"/>
        <w:rPr>
          <w:rFonts w:ascii="Book Antiqua" w:cs="Book Antiqua" w:eastAsia="Book Antiqua" w:hAnsi="Book Antiqua"/>
          <w:sz w:val="20"/>
          <w:szCs w:val="20"/>
        </w:rPr>
      </w:pPr>
      <w:r>
        <w:t>La variable objetivo total_co2e_kg corresponde a la salida del motor bajo los límites de infraestructura digital descritos. El tipo de cultivo se utiliza únicamente como un perfil sintético de carga del gemelo y no incorpora emisiones agronómicas directas de metano, fertilización o rendimiento. Se añadió una perturbación gaussiana controlada para probar la robustez del aprendizaje. Las distribuciones, rangos, fórmula exacta y dependencias del generador deben publicarse junto con la semilla y el archivo de configuración para permitir la réplica independiente.</w:t>
      </w:r>
    </w:p>
    <w:p w:rsidR="00000000" w:rsidDel="00000000" w:rsidP="00000000" w:rsidRDefault="00000000" w:rsidRPr="00000000" w14:paraId="00000098">
      <w:pPr>
        <w:pStyle w:val="Heading2"/>
        <w:spacing w:after="120" w:before="220" w:line="264" w:lineRule="auto"/>
        <w:rPr/>
      </w:pPr>
      <w:bookmarkStart w:colFirst="0" w:colLast="0" w:name="_heading=h.irt1ijwjdfga" w:id="3"/>
      <w:bookmarkEnd w:id="3"/>
      <w:r w:rsidDel="00000000" w:rsidR="00000000" w:rsidRPr="00000000">
        <w:rPr>
          <w:rFonts w:ascii="Times New Roman" w:cs="Times New Roman" w:eastAsia="Times New Roman" w:hAnsi="Times New Roman"/>
          <w:rtl w:val="0"/>
        </w:rPr>
        <w:t xml:space="preserve">2.5. Pipeline de aprendizaje automático y validación estadística</w:t>
      </w:r>
      <w:r w:rsidDel="00000000" w:rsidR="00000000" w:rsidRPr="00000000">
        <w:rPr>
          <w:rtl w:val="0"/>
        </w:rPr>
      </w:r>
    </w:p>
    <w:p w:rsidR="00000000" w:rsidDel="00000000" w:rsidP="00000000" w:rsidRDefault="00000000" w:rsidRPr="00000000" w14:paraId="00000099">
      <w:pPr>
        <w:spacing w:after="160" w:line="264" w:lineRule="auto"/>
        <w:rPr>
          <w:rFonts w:ascii="Book Antiqua" w:cs="Book Antiqua" w:eastAsia="Book Antiqua" w:hAnsi="Book Antiqua"/>
          <w:sz w:val="20"/>
          <w:szCs w:val="20"/>
        </w:rPr>
      </w:pPr>
      <w:r>
        <w:t>Se evaluaron Random Forest, XGBoost y SVR, además de Stacking y Blending construidos a partir de los modelos base. El preprocesamiento usa un ColumnTransformer con estandarización de variables numéricas y codificación one-hot de cultivo. La partición fue 80/20 (2000/500 registros), estratificada solo por la semilla 42; el conjunto de prueba permaneció reservado. La selección de hiperparámetros se realizó mediante RandomizedSearchCV de cinco folds sobre entrenamiento y la evaluación final empleó diez folds. Los hiperparámetros seleccionados, versiones, commit y comandos se incluyen en el Apéndice A y en el material suplementario.</w:t>
      </w:r>
    </w:p>
    <w:p w:rsidR="00000000" w:rsidDel="00000000" w:rsidP="00000000" w:rsidRDefault="00000000" w:rsidRPr="00000000" w14:paraId="0000009A">
      <w:pPr>
        <w:spacing w:after="160" w:line="264" w:lineRule="auto"/>
        <w:rPr>
          <w:rFonts w:ascii="Book Antiqua" w:cs="Book Antiqua" w:eastAsia="Book Antiqua" w:hAnsi="Book Antiqua"/>
          <w:sz w:val="20"/>
          <w:szCs w:val="20"/>
        </w:rPr>
      </w:pPr>
      <w:r>
        <w:t>El rendimiento se informa mediante RMSE y R² en una prueba independiente y mediante validación cruzada de diez folds en el conjunto de entrenamiento. Se aplicaron Friedman como prueba global, Wilcoxon pareado para comparaciones planificadas, la corrección de varianza de Nadeau-Bengio para contrastar XGBoost y Stacking, bootstrap de 2000 réplicas para el RMSE y Shapiro-Wilk y Breusch-Pagan como diagnósticos de residuos. Las comparaciones Wilcoxon se interpretan con corrección de Holm; una diferencia no significativa no prueba equivalencia entre modelos.</w:t>
      </w:r>
    </w:p>
    <w:p w:rsidR="00000000" w:rsidDel="00000000" w:rsidP="00000000" w:rsidRDefault="00000000" w:rsidRPr="00000000" w14:paraId="0000009B">
      <w:pPr>
        <w:pStyle w:val="Heading1"/>
        <w:rPr>
          <w:rFonts w:ascii="Book Antiqua" w:cs="Book Antiqua" w:eastAsia="Book Antiqua" w:hAnsi="Book Antiqua"/>
          <w:sz w:val="22"/>
          <w:szCs w:val="22"/>
        </w:rPr>
      </w:pPr>
      <w:r w:rsidDel="00000000" w:rsidR="00000000" w:rsidRPr="00000000">
        <w:rPr>
          <w:rFonts w:ascii="Book Antiqua" w:cs="Book Antiqua" w:eastAsia="Book Antiqua" w:hAnsi="Book Antiqua"/>
          <w:sz w:val="22"/>
          <w:szCs w:val="22"/>
          <w:rtl w:val="0"/>
        </w:rPr>
        <w:t xml:space="preserve">3</w:t>
        <w:tab/>
        <w:t xml:space="preserve">RESULTADOS</w:t>
      </w:r>
    </w:p>
    <w:p w:rsidR="00000000" w:rsidDel="00000000" w:rsidP="00000000" w:rsidRDefault="00000000" w:rsidRPr="00000000" w14:paraId="0000009C">
      <w:pPr>
        <w:pStyle w:val="Heading2"/>
        <w:spacing w:after="120" w:before="220" w:line="264" w:lineRule="auto"/>
        <w:rPr/>
      </w:pPr>
      <w:bookmarkStart w:colFirst="0" w:colLast="0" w:name="_heading=h.1o36ent8bzlj" w:id="4"/>
      <w:bookmarkEnd w:id="4"/>
      <w:r w:rsidDel="00000000" w:rsidR="00000000" w:rsidRPr="00000000">
        <w:rPr>
          <w:rFonts w:ascii="Times New Roman" w:cs="Times New Roman" w:eastAsia="Times New Roman" w:hAnsi="Times New Roman"/>
          <w:rtl w:val="0"/>
        </w:rPr>
        <w:t xml:space="preserve">3.1. Comparación de arquitecturas</w:t>
      </w:r>
      <w:r w:rsidDel="00000000" w:rsidR="00000000" w:rsidRPr="00000000">
        <w:rPr>
          <w:rtl w:val="0"/>
        </w:rPr>
      </w:r>
    </w:p>
    <w:p w:rsidR="00000000" w:rsidDel="00000000" w:rsidP="00000000" w:rsidRDefault="00000000" w:rsidRPr="00000000" w14:paraId="0000009D">
      <w:pPr>
        <w:rPr/>
      </w:pPr>
      <w:r>
        <w:t>Cloud-heavy produjo 1665,68 kg CO2e en el horizonte analizado. La arquitectura híbrida redujo la huella a 852,03 kg CO2e (48,85 %), Edge-heavy sin energía solar a 626,25 kg CO2e (62,40 %) y Edge-heavy con energía solar a 547,41 kg CO2e (67,14 %). Por tanto, el criterio operativo de H1 se cumplió en las dos configuraciones Edge-heavy bajo los supuestos deterministas del motor.</w:t>
      </w:r>
    </w:p>
    <w:p w:rsidR="00000000" w:rsidDel="00000000" w:rsidP="00000000" w:rsidRDefault="00000000" w:rsidRPr="00000000" w14:paraId="0000009E">
      <w:pPr>
        <w:spacing w:after="200" w:before="10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i w:val="1"/>
          <w:iCs w:val="1"/>
          <w:sz w:val="18"/>
          <w:szCs w:val="18"/>
          <w:rtl w:val="0"/>
        </w:rPr>
        <w:t xml:space="preserve">Tabla 3. Huella total según la arquitectura simulada</w:t>
      </w:r>
      <w:r w:rsidDel="00000000" w:rsidR="00000000" w:rsidRPr="00000000">
        <w:rPr>
          <w:rtl w:val="0"/>
        </w:rPr>
      </w:r>
    </w:p>
    <w:sdt>
      <w:sdtPr>
        <w:lock w:val="contentLocked"/>
        <w:id w:val="-1158143431"/>
        <w:tag w:val="goog_rdk_0"/>
      </w:sdtPr>
      <w:sdtContent>
        <w:tbl>
          <w:tblPr>
            <w:tblStyle w:val="Table4"/>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050"/>
            <w:gridCol w:w="1245"/>
            <w:gridCol w:w="1425"/>
            <w:tblGridChange w:id="0">
              <w:tblGrid>
                <w:gridCol w:w="1380"/>
                <w:gridCol w:w="1050"/>
                <w:gridCol w:w="1245"/>
                <w:gridCol w:w="1425"/>
              </w:tblGrid>
            </w:tblGridChange>
          </w:tblGrid>
          <w:tr>
            <w:trPr>
              <w:cantSplit w:val="0"/>
              <w:trHeight w:val="593.6279296875" w:hRule="atLeast"/>
              <w:tblHeader w:val="0"/>
            </w:trPr>
            <w:tc>
              <w:tcPr>
                <w:tcBorders>
                  <w:top w:color="999999" w:space="0" w:sz="5" w:val="single"/>
                  <w:left w:color="999999" w:space="0" w:sz="5" w:val="single"/>
                  <w:bottom w:color="999999" w:space="0" w:sz="5" w:val="single"/>
                  <w:right w:color="999999"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9F">
                <w:pP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Escenario</w:t>
                </w:r>
              </w:p>
            </w:tc>
            <w:tc>
              <w:tcPr>
                <w:tcBorders>
                  <w:top w:color="999999" w:space="0" w:sz="5" w:val="single"/>
                  <w:left w:color="000000" w:space="0" w:sz="0" w:val="nil"/>
                  <w:bottom w:color="999999" w:space="0" w:sz="5" w:val="single"/>
                  <w:right w:color="999999"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A0">
                <w:pP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Total</w:t>
                </w:r>
              </w:p>
              <w:p w:rsidR="00000000" w:rsidDel="00000000" w:rsidP="00000000" w:rsidRDefault="00000000" w:rsidRPr="00000000" w14:paraId="000000A1">
                <w:pP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kg CO2e</w:t>
                </w:r>
              </w:p>
              <w:p w:rsidR="00000000" w:rsidDel="00000000" w:rsidP="00000000" w:rsidRDefault="00000000" w:rsidRPr="00000000" w14:paraId="000000A2">
                <w:pPr>
                  <w:rPr>
                    <w:rFonts w:ascii="Book Antiqua" w:cs="Book Antiqua" w:eastAsia="Book Antiqua" w:hAnsi="Book Antiqua"/>
                    <w:b w:val="1"/>
                    <w:bCs w:val="1"/>
                    <w:sz w:val="18"/>
                    <w:szCs w:val="18"/>
                  </w:rPr>
                </w:pP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A3">
                <w:pP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Reducción respecto a Cloud-heavy</w:t>
                </w:r>
              </w:p>
            </w:tc>
            <w:tc>
              <w:tcPr>
                <w:tcBorders>
                  <w:top w:color="999999" w:space="0" w:sz="5" w:val="single"/>
                  <w:left w:color="000000" w:space="0" w:sz="0" w:val="nil"/>
                  <w:bottom w:color="999999" w:space="0" w:sz="5" w:val="single"/>
                  <w:right w:color="999999"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A4">
                <w:pP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kg CO2e/ha</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5">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Cloud-heavy</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6">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1665,68</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7">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0,00 %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8">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166,57</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9">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Híbrida</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A">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852,03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B">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48,85 %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C">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85,20</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D">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Edge sin solar</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E">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626,25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F">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62,40 %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0">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62,63</w:t>
                </w:r>
              </w:p>
            </w:tc>
          </w:tr>
          <w:tr>
            <w:trPr>
              <w:cantSplit w:val="0"/>
              <w:trHeight w:val="267.875976562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1">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Edge con solar</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2">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547,41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3">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67,14 %</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4">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54,74</w:t>
                </w:r>
              </w:p>
            </w:tc>
          </w:tr>
        </w:tbl>
      </w:sdtContent>
    </w:sdt>
    <w:p w:rsidR="00000000" w:rsidDel="00000000" w:rsidP="00000000" w:rsidRDefault="00000000" w:rsidRPr="00000000" w14:paraId="000000B5">
      <w:pPr>
        <w:pStyle w:val="Heading2"/>
        <w:spacing w:after="120" w:before="220" w:line="264" w:lineRule="auto"/>
        <w:rPr>
          <w:rFonts w:ascii="Times New Roman" w:cs="Times New Roman" w:eastAsia="Times New Roman" w:hAnsi="Times New Roman"/>
        </w:rPr>
      </w:pPr>
      <w:bookmarkStart w:colFirst="0" w:colLast="0" w:name="_heading=h.yebg7uz9b4e8" w:id="5"/>
      <w:bookmarkEnd w:id="5"/>
      <w:r w:rsidDel="00000000" w:rsidR="00000000" w:rsidRPr="00000000">
        <w:rPr>
          <w:rFonts w:ascii="Times New Roman" w:cs="Times New Roman" w:eastAsia="Times New Roman" w:hAnsi="Times New Roman"/>
          <w:rtl w:val="0"/>
        </w:rPr>
        <w:t xml:space="preserve">3.2. Desglose de ciclo de vida y sensibilidad</w:t>
      </w:r>
    </w:p>
    <w:p w:rsidR="00000000" w:rsidDel="00000000" w:rsidP="00000000" w:rsidRDefault="00000000" w:rsidRPr="00000000" w14:paraId="000000B6">
      <w:pPr>
        <w:rPr/>
      </w:pPr>
      <w:r>
        <w:t>En Cloud-heavy, la operación concentró 1385,01 kg CO2e (83,1 % del total), impulsada principalmente por Cloud (1270,91 kg CO2e). Edge-heavy con energía solar elevó la fabricación de 195,30 a 210,10 kg CO2e, pero redujo la operación a 244,24 kg CO2e. En el análisis de sensibilidad de la configuración híbrida, el número de sensores tuvo el mayor efecto máximo (25,11 %), seguido de vCPU Cloud (20,91 %) y horas diarias Cloud (19,74 %). El almacenamiento Cloud no superó 0,88 %.</w:t>
      </w:r>
    </w:p>
    <w:p w:rsidR="00000000" w:rsidDel="00000000" w:rsidP="00000000" w:rsidRDefault="00000000" w:rsidRPr="00000000" w14:paraId="000000B7">
      <w:pPr>
        <w:pStyle w:val="Heading2"/>
        <w:spacing w:after="120" w:before="220" w:line="264" w:lineRule="auto"/>
        <w:rPr>
          <w:rFonts w:ascii="Times New Roman" w:cs="Times New Roman" w:eastAsia="Times New Roman" w:hAnsi="Times New Roman"/>
        </w:rPr>
      </w:pPr>
      <w:bookmarkStart w:colFirst="0" w:colLast="0" w:name="_heading=h.mjgg8qi88o6v" w:id="6"/>
      <w:bookmarkEnd w:id="6"/>
      <w:r w:rsidDel="00000000" w:rsidR="00000000" w:rsidRPr="00000000">
        <w:rPr>
          <w:rFonts w:ascii="Times New Roman" w:cs="Times New Roman" w:eastAsia="Times New Roman" w:hAnsi="Times New Roman"/>
          <w:rtl w:val="0"/>
        </w:rPr>
        <w:t xml:space="preserve">3.3. Predicción de emisiones</w:t>
      </w:r>
    </w:p>
    <w:p w:rsidR="00000000" w:rsidDel="00000000" w:rsidP="00000000" w:rsidRDefault="00000000" w:rsidRPr="00000000" w14:paraId="000000B8">
      <w:pPr>
        <w:spacing w:after="200" w:before="10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i w:val="1"/>
          <w:iCs w:val="1"/>
          <w:sz w:val="18"/>
          <w:szCs w:val="18"/>
          <w:rtl w:val="0"/>
        </w:rPr>
        <w:t xml:space="preserve">Tabla 4. Desempeño predictivo de los modelos evaluados</w:t>
      </w:r>
      <w:r w:rsidDel="00000000" w:rsidR="00000000" w:rsidRPr="00000000">
        <w:rPr>
          <w:rtl w:val="0"/>
        </w:rPr>
      </w:r>
    </w:p>
    <w:sdt>
      <w:sdtPr>
        <w:lock w:val="contentLocked"/>
        <w:id w:val="-700487032"/>
        <w:tag w:val="goog_rdk_1"/>
      </w:sdtPr>
      <w:sdtContent>
        <w:tbl>
          <w:tblPr>
            <w:tblStyle w:val="Table5"/>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065"/>
            <w:gridCol w:w="1365"/>
            <w:gridCol w:w="1290"/>
            <w:tblGridChange w:id="0">
              <w:tblGrid>
                <w:gridCol w:w="1380"/>
                <w:gridCol w:w="1065"/>
                <w:gridCol w:w="1365"/>
                <w:gridCol w:w="1290"/>
              </w:tblGrid>
            </w:tblGridChange>
          </w:tblGrid>
          <w:tr>
            <w:trPr>
              <w:cantSplit w:val="0"/>
              <w:trHeight w:val="456.50390625" w:hRule="atLeast"/>
              <w:tblHeader w:val="0"/>
            </w:trPr>
            <w:tc>
              <w:tcPr>
                <w:tcBorders>
                  <w:top w:color="999999" w:space="0" w:sz="5" w:val="single"/>
                  <w:left w:color="999999" w:space="0" w:sz="5" w:val="single"/>
                  <w:bottom w:color="999999" w:space="0" w:sz="5" w:val="single"/>
                  <w:right w:color="999999"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B9">
                <w:pP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Modelo</w:t>
                </w:r>
              </w:p>
            </w:tc>
            <w:tc>
              <w:tcPr>
                <w:tcBorders>
                  <w:top w:color="999999" w:space="0" w:sz="5" w:val="single"/>
                  <w:left w:color="000000" w:space="0" w:sz="0" w:val="nil"/>
                  <w:bottom w:color="999999" w:space="0" w:sz="5" w:val="single"/>
                  <w:right w:color="999999"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BA">
                <w:pP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CV RMSE</w:t>
                </w:r>
              </w:p>
              <w:p w:rsidR="00000000" w:rsidDel="00000000" w:rsidP="00000000" w:rsidRDefault="00000000" w:rsidRPr="00000000" w14:paraId="000000BB">
                <w:pP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kg CO2e</w:t>
                </w:r>
              </w:p>
              <w:p w:rsidR="00000000" w:rsidDel="00000000" w:rsidP="00000000" w:rsidRDefault="00000000" w:rsidRPr="00000000" w14:paraId="000000BC">
                <w:pPr>
                  <w:rPr>
                    <w:rFonts w:ascii="Book Antiqua" w:cs="Book Antiqua" w:eastAsia="Book Antiqua" w:hAnsi="Book Antiqua"/>
                    <w:b w:val="1"/>
                    <w:bCs w:val="1"/>
                    <w:sz w:val="18"/>
                    <w:szCs w:val="18"/>
                  </w:rPr>
                </w:pPr>
                <w:r w:rsidDel="00000000" w:rsidR="00000000" w:rsidRPr="00000000">
                  <w:rPr>
                    <w:rtl w:val="0"/>
                  </w:rPr>
                </w:r>
              </w:p>
              <w:p w:rsidR="00000000" w:rsidDel="00000000" w:rsidP="00000000" w:rsidRDefault="00000000" w:rsidRPr="00000000" w14:paraId="000000BD">
                <w:pPr>
                  <w:rPr>
                    <w:rFonts w:ascii="Book Antiqua" w:cs="Book Antiqua" w:eastAsia="Book Antiqua" w:hAnsi="Book Antiqua"/>
                    <w:b w:val="1"/>
                    <w:bCs w:val="1"/>
                    <w:sz w:val="18"/>
                    <w:szCs w:val="18"/>
                  </w:rPr>
                </w:pP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BE">
                <w:pP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Prueba RMSE</w:t>
                </w:r>
              </w:p>
              <w:p w:rsidR="00000000" w:rsidDel="00000000" w:rsidP="00000000" w:rsidRDefault="00000000" w:rsidRPr="00000000" w14:paraId="000000BF">
                <w:pP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kg CO2e</w:t>
                </w:r>
              </w:p>
              <w:p w:rsidR="00000000" w:rsidDel="00000000" w:rsidP="00000000" w:rsidRDefault="00000000" w:rsidRPr="00000000" w14:paraId="000000C0">
                <w:pPr>
                  <w:rPr>
                    <w:rFonts w:ascii="Book Antiqua" w:cs="Book Antiqua" w:eastAsia="Book Antiqua" w:hAnsi="Book Antiqua"/>
                    <w:b w:val="1"/>
                    <w:bCs w:val="1"/>
                    <w:sz w:val="18"/>
                    <w:szCs w:val="18"/>
                  </w:rPr>
                </w:pP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0C1">
                <w:pPr>
                  <w:rPr>
                    <w:rFonts w:ascii="Book Antiqua" w:cs="Book Antiqua" w:eastAsia="Book Antiqua" w:hAnsi="Book Antiqua"/>
                    <w:b w:val="1"/>
                    <w:bCs w:val="1"/>
                    <w:sz w:val="18"/>
                    <w:szCs w:val="18"/>
                  </w:rPr>
                </w:pPr>
                <w:r w:rsidDel="00000000" w:rsidR="00000000" w:rsidRPr="00000000">
                  <w:rPr>
                    <w:rFonts w:ascii="Book Antiqua" w:cs="Book Antiqua" w:eastAsia="Book Antiqua" w:hAnsi="Book Antiqua"/>
                    <w:b w:val="1"/>
                    <w:bCs w:val="1"/>
                    <w:sz w:val="18"/>
                    <w:szCs w:val="18"/>
                    <w:rtl w:val="0"/>
                  </w:rPr>
                  <w:t xml:space="preserve">R² prueba</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2">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Random Forest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3">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4232,41 ± 1375,32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4">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3749,67</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5">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0,80349</w:t>
                </w:r>
              </w:p>
            </w:tc>
          </w:tr>
          <w:tr>
            <w:trPr>
              <w:cantSplit w:val="0"/>
              <w:trHeight w:val="330"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6">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XGBoost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7">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2602,38 ± 838,19</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8">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2338,61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9">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0,92356</w:t>
                </w:r>
              </w:p>
            </w:tc>
          </w:tr>
          <w:tr>
            <w:trPr>
              <w:cantSplit w:val="0"/>
              <w:trHeight w:val="34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A">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SVR</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B">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5902,08 ± 1756,40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C">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4908,53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D">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0,66326</w:t>
                </w:r>
              </w:p>
            </w:tc>
          </w:tr>
          <w:tr>
            <w:trPr>
              <w:cantSplit w:val="0"/>
              <w:trHeight w:val="267.875976562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E">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Stacking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F">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2659,57 ± 593,19</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0">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2212,89</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1">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0,93156</w:t>
                </w:r>
              </w:p>
            </w:tc>
          </w:tr>
          <w:tr>
            <w:trPr>
              <w:cantSplit w:val="0"/>
              <w:trHeight w:val="267.8759765625"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2">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Blending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3">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3708,63 ± 1363,09</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4">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2921,94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5">
                <w:pP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0,88068</w:t>
                </w:r>
              </w:p>
            </w:tc>
          </w:tr>
        </w:tbl>
      </w:sdtContent>
    </w:sdt>
    <w:p w:rsidR="00000000" w:rsidDel="00000000" w:rsidP="00000000" w:rsidRDefault="00000000" w:rsidRPr="00000000" w14:paraId="000000D6">
      <w:pPr>
        <w:spacing w:after="160" w:line="264" w:lineRule="auto"/>
        <w:rPr>
          <w:rFonts w:ascii="Book Antiqua" w:cs="Book Antiqua" w:eastAsia="Book Antiqua" w:hAnsi="Book Antiqua"/>
          <w:i w:val="1"/>
          <w:iCs w:val="1"/>
          <w:sz w:val="18"/>
          <w:szCs w:val="18"/>
        </w:rPr>
      </w:pPr>
      <w:r>
        <w:t>XGBoost obtuvo el menor RMSE medio de validación cruzada, 2602,38 ± 838,19 kg CO2e. En la prueba independiente, Stacking alcanzó el menor RMSE (2212,89 kg CO2e) y el mayor R² (0,93156), pero no difirió significativamente de XGBoost (Wilcoxon p = 0,27832; Nadeau-Bengio p = 0,778202). Friedman detectó diferencias globales entre modelos (χ² = 35,92; p &lt; 0,001). En las comparaciones planificadas, XGBoost superó a Random Forest, SVR y Blending; los p ajustados por Holm fueron ≤ 0,00391. El IC bootstrap de su RMSE fue [1837,14; 2924,84] kg CO2e. Los residuos no fueron normales y presentaron heterocedasticidad (p &lt; 0,001); por ello, la inferencia se interpreta con cautela.</w:t>
      </w:r>
    </w:p>
    <w:p w:rsidR="00000000" w:rsidDel="00000000" w:rsidP="00000000" w:rsidRDefault="00000000" w:rsidRPr="00000000" w14:paraId="000000D7">
      <w:pPr>
        <w:pStyle w:val="Heading1"/>
        <w:rPr>
          <w:rFonts w:ascii="Book Antiqua" w:cs="Book Antiqua" w:eastAsia="Book Antiqua" w:hAnsi="Book Antiqua"/>
          <w:color w:val="000000"/>
          <w:sz w:val="22"/>
          <w:szCs w:val="22"/>
        </w:rPr>
      </w:pPr>
      <w:r w:rsidDel="00000000" w:rsidR="00000000" w:rsidRPr="00000000">
        <w:rPr>
          <w:rFonts w:ascii="Book Antiqua" w:cs="Book Antiqua" w:eastAsia="Book Antiqua" w:hAnsi="Book Antiqua"/>
          <w:color w:val="000000"/>
          <w:sz w:val="22"/>
          <w:szCs w:val="22"/>
          <w:rtl w:val="0"/>
        </w:rPr>
        <w:t xml:space="preserve">4</w:t>
        <w:tab/>
      </w:r>
      <w:r w:rsidDel="00000000" w:rsidR="00000000" w:rsidRPr="00000000">
        <w:rPr>
          <w:rFonts w:ascii="Book Antiqua" w:cs="Book Antiqua" w:eastAsia="Book Antiqua" w:hAnsi="Book Antiqua"/>
          <w:sz w:val="22"/>
          <w:szCs w:val="22"/>
          <w:rtl w:val="0"/>
        </w:rPr>
        <w:t xml:space="preserve">DISCUSIÓN</w:t>
      </w:r>
      <w:r w:rsidDel="00000000" w:rsidR="00000000" w:rsidRPr="00000000">
        <w:rPr>
          <w:rtl w:val="0"/>
        </w:rPr>
      </w:r>
    </w:p>
    <w:p w:rsidR="00000000" w:rsidDel="00000000" w:rsidP="00000000" w:rsidRDefault="00000000" w:rsidRPr="00000000" w14:paraId="000000D8">
      <w:pPr>
        <w:spacing w:after="160" w:line="264" w:lineRule="auto"/>
        <w:ind w:firstLine="340"/>
        <w:rPr>
          <w:rFonts w:ascii="Book Antiqua" w:cs="Book Antiqua" w:eastAsia="Book Antiqua" w:hAnsi="Book Antiqua"/>
          <w:sz w:val="20"/>
          <w:szCs w:val="20"/>
        </w:rPr>
      </w:pPr>
      <w:r>
        <w:t>La comparación por arquitectura indica que la huella no se distribuye uniformemente entre las capas. En Cloud-heavy, el componente operativo de Cloud concentra la mayor parte del impacto; al desplazar procesamiento hacia Edge y utilizar alimentación solar local se reduce la operación, aunque aumenta moderadamente la fabricación. El hallazgo es consistente con la necesidad de considerar emisiones incorporadas y operativas en sistemas IoT [1], [2].</w:t>
      </w:r>
    </w:p>
    <w:p w:rsidR="00000000" w:rsidDel="00000000" w:rsidP="00000000" w:rsidRDefault="00000000" w:rsidRPr="00000000" w14:paraId="000000D9">
      <w:pPr>
        <w:spacing w:after="160" w:line="264" w:lineRule="auto"/>
        <w:ind w:firstLine="340"/>
        <w:rPr>
          <w:rFonts w:ascii="Book Antiqua" w:cs="Book Antiqua" w:eastAsia="Book Antiqua" w:hAnsi="Book Antiqua"/>
          <w:sz w:val="20"/>
          <w:szCs w:val="20"/>
        </w:rPr>
      </w:pPr>
      <w:r w:rsidDel="00000000" w:rsidR="00000000" w:rsidRPr="00000000">
        <w:rPr>
          <w:rtl w:val="0"/>
        </w:rPr>
      </w:r>
    </w:p>
    <w:p w:rsidR="00000000" w:rsidDel="00000000" w:rsidP="00000000" w:rsidRDefault="00000000" w:rsidRPr="00000000" w14:paraId="000000DA">
      <w:pPr>
        <w:spacing w:after="160" w:line="264" w:lineRule="auto"/>
        <w:ind w:firstLine="340"/>
        <w:rPr>
          <w:rFonts w:ascii="Book Antiqua" w:cs="Book Antiqua" w:eastAsia="Book Antiqua" w:hAnsi="Book Antiqua"/>
          <w:sz w:val="20"/>
          <w:szCs w:val="20"/>
        </w:rPr>
      </w:pPr>
      <w:r>
        <w:t>El análisis de sensibilidad determinista y la importancia por permutación no responden exactamente a la misma pregunta. El primero cuantifica cambios locales en el escenario híbrido y señala al número de sensores, vCPU Cloud y horas diarias Cloud. La segunda describe qué variables ayudan al modelo a aproximar el generador sintético; volumen de datos, intensidad de carbono Cloud, días de operación y frecuencia de transmisión ocupan las primeras posiciones. Ninguno de los dos resultados debe interpretarse como causalidad observada en campo.</w:t>
      </w:r>
    </w:p>
    <w:p w:rsidR="00000000" w:rsidDel="00000000" w:rsidP="00000000" w:rsidRDefault="00000000" w:rsidRPr="00000000" w14:paraId="000000DB">
      <w:pPr>
        <w:spacing w:after="160" w:line="264" w:lineRule="auto"/>
        <w:ind w:left="0" w:firstLine="0"/>
        <w:rPr>
          <w:rFonts w:ascii="Book Antiqua" w:cs="Book Antiqua" w:eastAsia="Book Antiqua" w:hAnsi="Book Antiqua"/>
          <w:sz w:val="20"/>
          <w:szCs w:val="20"/>
        </w:rPr>
      </w:pPr>
      <w:r>
        <w:t>XGBoost obtuvo el menor RMSE medio en validación cruzada y fue seleccionado como modelo principal. Sin embargo, Stacking obtuvo el mejor resultado en la prueba independiente y no presentó diferencia estadísticamente significativa frente a XGBoost. Este resultado no demuestra equivalencia ni una superioridad absoluta de XGBoost; la selección responde al desempeño promedio y a una implementación más directa.</w:t>
      </w:r>
    </w:p>
    <w:p w:rsidR="00000000" w:rsidDel="00000000" w:rsidP="00000000" w:rsidRDefault="00000000" w:rsidRPr="00000000" w14:paraId="000000DC">
      <w:pPr>
        <w:spacing w:after="160" w:line="264" w:lineRule="auto"/>
        <w:ind w:left="0" w:firstLine="0"/>
        <w:rPr>
          <w:rFonts w:ascii="Book Antiqua" w:cs="Book Antiqua" w:eastAsia="Book Antiqua" w:hAnsi="Book Antiqua"/>
          <w:sz w:val="20"/>
          <w:szCs w:val="20"/>
        </w:rPr>
      </w:pPr>
      <w:r>
        <w:t>Las amenazas a la validez son cuatro. Interna: el resultado depende de factores configurados y de la comparabilidad funcional de escenarios; se mitiga fijando inventario, horizonte y semilla. De constructo: los factores de emisión son demostrativos y requieren trazabilidad externa. Externa: un único caso de 30 sensores, 10 ha y tres años no permite generalizar a otras explotaciones. De conclusión: los datos sintéticos y la no normalidad de residuos limitan la inferencia estadística. No se realizó Monte Carlo porque los factores no disponen de distribuciones de incertidumbre válidas; no se inventaron supuestos probabilísticos.</w:t>
      </w:r>
    </w:p>
    <w:p w:rsidR="00000000" w:rsidDel="00000000" w:rsidP="00000000" w:rsidRDefault="00000000" w:rsidRPr="00000000" w14:paraId="000000DD">
      <w:pPr>
        <w:pStyle w:val="Heading1"/>
        <w:rPr>
          <w:rFonts w:ascii="Book Antiqua" w:cs="Book Antiqua" w:eastAsia="Book Antiqua" w:hAnsi="Book Antiqua"/>
          <w:color w:val="000000"/>
          <w:sz w:val="20"/>
          <w:szCs w:val="20"/>
        </w:rPr>
      </w:pPr>
      <w:r w:rsidDel="00000000" w:rsidR="00000000" w:rsidRPr="00000000">
        <w:rPr>
          <w:rFonts w:ascii="Book Antiqua" w:cs="Book Antiqua" w:eastAsia="Book Antiqua" w:hAnsi="Book Antiqua"/>
          <w:color w:val="000000"/>
          <w:sz w:val="20"/>
          <w:szCs w:val="20"/>
          <w:rtl w:val="0"/>
        </w:rPr>
        <w:t xml:space="preserve">5</w:t>
        <w:tab/>
      </w:r>
      <w:r w:rsidDel="00000000" w:rsidR="00000000" w:rsidRPr="00000000">
        <w:rPr>
          <w:rFonts w:ascii="Times New Roman" w:cs="Times New Roman" w:eastAsia="Times New Roman" w:hAnsi="Times New Roman"/>
          <w:sz w:val="22"/>
          <w:szCs w:val="22"/>
          <w:rtl w:val="0"/>
        </w:rPr>
        <w:t xml:space="preserve">CONCLUSIONES</w:t>
      </w:r>
      <w:r w:rsidDel="00000000" w:rsidR="00000000" w:rsidRPr="00000000">
        <w:rPr>
          <w:rFonts w:ascii="Book Antiqua" w:cs="Book Antiqua" w:eastAsia="Book Antiqua" w:hAnsi="Book Antiqua"/>
          <w:sz w:val="20"/>
          <w:szCs w:val="20"/>
          <w:rtl w:val="0"/>
        </w:rPr>
        <w:t xml:space="preserve"> </w:t>
      </w:r>
      <w:r w:rsidDel="00000000" w:rsidR="00000000" w:rsidRPr="00000000">
        <w:rPr>
          <w:rtl w:val="0"/>
        </w:rPr>
      </w:r>
    </w:p>
    <w:p w:rsidR="00000000" w:rsidDel="00000000" w:rsidP="00000000" w:rsidRDefault="00000000" w:rsidRPr="00000000" w14:paraId="000000DE">
      <w:pPr>
        <w:spacing w:after="160" w:line="264" w:lineRule="auto"/>
        <w:ind w:firstLine="340"/>
        <w:rPr>
          <w:rFonts w:ascii="Book Antiqua" w:cs="Book Antiqua" w:eastAsia="Book Antiqua" w:hAnsi="Book Antiqua"/>
          <w:sz w:val="20"/>
          <w:szCs w:val="20"/>
        </w:rPr>
      </w:pPr>
      <w:r>
        <w:t>AP-9 permitió comparar de manera reproducible cuatro arquitecturas de gemelo digital agrícola dentro de límites de infraestructura digital. Edge-heavy sin energía solar redujo la huella total en 62,40 % y Edge-heavy con energía solar en 67,14 % frente a Cloud-heavy; ambas cumplen el umbral operativo de H1. La reducción se explica, en este caso de estudio, por la disminución de las emisiones operativas asociadas a Cloud.</w:t>
      </w:r>
    </w:p>
    <w:p w:rsidR="00000000" w:rsidDel="00000000" w:rsidP="00000000" w:rsidRDefault="00000000" w:rsidRPr="00000000" w14:paraId="000000DF">
      <w:pPr>
        <w:spacing w:after="160" w:line="264" w:lineRule="auto"/>
        <w:ind w:left="0" w:firstLine="0"/>
        <w:rPr>
          <w:rFonts w:ascii="Book Antiqua" w:cs="Book Antiqua" w:eastAsia="Book Antiqua" w:hAnsi="Book Antiqua"/>
          <w:sz w:val="20"/>
          <w:szCs w:val="20"/>
        </w:rPr>
      </w:pPr>
      <w:r>
        <w:t>XGBoost obtuvo el menor RMSE medio en validación cruzada, mientras que Stacking presentó el mejor desempeño en la prueba independiente. Dado que no hubo diferencia estadísticamente significativa entre ambos, no se declara un ganador absoluto. La evidencia es apropiada para evaluar el simulador y orientar configuraciones dentro de sus parámetros, pero no valida aún una predicción de emisiones agrícolas reales.</w:t>
      </w:r>
    </w:p>
    <w:p w:rsidR="00000000" w:rsidDel="00000000" w:rsidP="00000000" w:rsidRDefault="00000000" w:rsidRPr="00000000" w14:paraId="000000E0">
      <w:pPr>
        <w:spacing w:after="160" w:line="264" w:lineRule="auto"/>
        <w:ind w:left="0" w:firstLine="0"/>
        <w:rPr>
          <w:rFonts w:ascii="Book Antiqua" w:cs="Book Antiqua" w:eastAsia="Book Antiqua" w:hAnsi="Book Antiqua"/>
          <w:sz w:val="20"/>
          <w:szCs w:val="20"/>
        </w:rPr>
      </w:pPr>
      <w:r>
        <w:t>Como trabajo futuro se requiere contrastar el motor y los modelos con telemetría real, sustituir los factores demostrativos por factores trazables por fabricante o base de datos, publicar el entorno reproducible e incorporar distribuciones de incertidumbre para aplicar Monte Carlo.</w:t>
      </w:r>
    </w:p>
    <w:p>
      <w:pPr/>
      <w:r>
        <w:rPr>
          <w:b w:val="0"/>
        </w:rPr>
        <w:t>DECLARACIONES</w:t>
      </w:r>
    </w:p>
    <w:p>
      <w:r>
        <w:rPr>
          <w:b w:val="0"/>
        </w:rPr>
        <w:t>Ética, conflictos y financiación. El estudio no involucró participantes humanos, datos personales ni experimentación con animales; por ello no requirió aprobación ética. Los autores deben confirmar antes del envío la declaración real de conflictos de interés y la fuente de financiación o su ausencia.</w:t>
      </w:r>
    </w:p>
    <w:p>
      <w:r>
        <w:rPr>
          <w:b w:val="0"/>
        </w:rPr>
        <w:t>Uso de IA generativa. Se utilizó una herramienta de IA generativa únicamente como apoyo de redacción y revisión lingüística. Los autores revisaron el manuscrito, verificaron los resultados numéricos y asumen la responsabilidad íntegra por su contenido. Esta declaración debe ajustarse si la herramienta se usó también para código, análisis o figuras.</w:t>
      </w:r>
    </w:p>
    <w:p>
      <w:r>
        <w:t>Disponibilidad de materiales. El paquete suplementario de evaluación acompaña este manuscrito e incluye el código de AP-9, scripts de ejecución, configuración de escenarios, dataset_sintetico_semilla42.csv, resultados CSV, figuras, hiperparámetros y metadatos de reproducibilidad. El identificador del commit evaluado es cefeeef88af6115fffc624a09eb375595d6a5b208. Antes de una publicación externa, los autores deberán depositar el mismo paquete en un repositorio público o anónimo con licencia explícita y añadir la URL persistente.</w:t>
      </w:r>
    </w:p>
    <w:p w:rsidR="00000000" w:rsidDel="00000000" w:rsidP="00000000" w:rsidRDefault="00000000" w:rsidRPr="00000000" w14:paraId="000000E2">
      <w:pPr>
        <w:widowControl w:val="1"/>
        <w:spacing w:after="160" w:before="300" w:line="264" w:lineRule="auto"/>
        <w:rPr>
          <w:b w:val="1"/>
          <w:bCs w:val="1"/>
          <w:sz w:val="22"/>
          <w:szCs w:val="22"/>
        </w:rPr>
      </w:pPr>
      <w:r>
        <w:t>REFERENCIAS</w:t>
      </w:r>
    </w:p>
    <w:p w:rsidR="00000000" w:rsidDel="00000000" w:rsidP="00000000" w:rsidRDefault="00000000" w:rsidRPr="00000000" w14:paraId="000000E3">
      <w:pPr>
        <w:widowControl w:val="1"/>
        <w:spacing w:after="100" w:line="249.60000000000002" w:lineRule="auto"/>
        <w:ind w:left="680" w:hanging="340"/>
        <w:rPr>
          <w:sz w:val="18"/>
          <w:szCs w:val="18"/>
        </w:rPr>
      </w:pPr>
      <w:r>
        <w:t>[1] P. La Rocca, G. Guennebaud, A. Bugeau, and A.-L. Ligozat, "Estimating the carbon footprint of digital agriculture deployment: A parametric bottom-up modeling approach," J. Ind. Ecol., vol. 28, pp. 1–15, 2024, doi: 10.1111/jiec.13568.</w:t>
      </w:r>
    </w:p>
    <w:p w:rsidR="00000000" w:rsidDel="00000000" w:rsidP="00000000" w:rsidRDefault="00000000" w:rsidRPr="00000000" w14:paraId="000000E4">
      <w:pPr>
        <w:widowControl w:val="1"/>
        <w:spacing w:after="100" w:line="249.60000000000002" w:lineRule="auto"/>
        <w:ind w:left="680" w:hanging="340"/>
        <w:rPr>
          <w:sz w:val="18"/>
          <w:szCs w:val="18"/>
        </w:rPr>
      </w:pPr>
      <w:r>
        <w:t>[2] T. Pirson and D. Bol, "Assessing the embodied carbon footprint of IoT edge devices with a bottom-up life-cycle approach," J. Clean. Prod., vol. 322, p. 128966, 2021, doi: 10.1016/j.jclepro.2021.128966.</w:t>
      </w:r>
    </w:p>
    <w:p w:rsidR="00000000" w:rsidDel="00000000" w:rsidP="00000000" w:rsidRDefault="00000000" w:rsidRPr="00000000" w14:paraId="000000E5">
      <w:pPr>
        <w:widowControl w:val="1"/>
        <w:spacing w:after="100" w:line="249.60000000000002" w:lineRule="auto"/>
        <w:ind w:left="680" w:hanging="340"/>
        <w:rPr>
          <w:sz w:val="18"/>
          <w:szCs w:val="18"/>
        </w:rPr>
      </w:pPr>
      <w:r>
        <w:t>[3] M. Pradel, M. de Fays, and C. Seguineau, "Comparative life cycle assessment of intra-row and inter-row weeding practices using autonomous robot systems in French vineyards," Sci. Total Environ., vol. 838, p. 156441, 2022, doi: 10.1016/j.scitotenv.2022.156441.</w:t>
      </w:r>
    </w:p>
    <w:p w:rsidR="00000000" w:rsidDel="00000000" w:rsidP="00000000" w:rsidRDefault="00000000" w:rsidRPr="00000000" w14:paraId="000000E7">
      <w:pPr>
        <w:widowControl w:val="1"/>
        <w:spacing w:after="100" w:line="249.60000000000002" w:lineRule="auto"/>
        <w:ind w:left="680" w:hanging="340"/>
        <w:rPr>
          <w:sz w:val="18"/>
          <w:szCs w:val="18"/>
        </w:rPr>
      </w:pPr>
      <w:r>
        <w:t>[4] S. A. Ahmed et al., "Edge AI for Smart Energy Systems: A Comprehensive Review," in Edge Computing Applications, IntechOpen, 2025, doi: 10.5772/intechopen.1224342.</w:t>
      </w:r>
    </w:p>
    <w:p w:rsidR="00000000" w:rsidDel="00000000" w:rsidP="00000000" w:rsidRDefault="00000000" w:rsidRPr="00000000" w14:paraId="000000E8">
      <w:pPr>
        <w:widowControl w:val="1"/>
        <w:spacing w:after="100" w:line="249.60000000000002" w:lineRule="auto"/>
        <w:ind w:left="680" w:hanging="340"/>
        <w:rPr>
          <w:sz w:val="18"/>
          <w:szCs w:val="18"/>
        </w:rPr>
      </w:pPr>
      <w:r>
        <w:t>[5] MAIZX Consortium, "MAIZX: A Carbon-Aware Framework for Optimizing Cloud Computing Emissions," arXiv preprint arXiv:2506.19972, 2025.</w:t>
      </w:r>
    </w:p>
    <w:p w:rsidR="00000000" w:rsidDel="00000000" w:rsidP="00000000" w:rsidRDefault="00000000" w:rsidRPr="00000000" w14:paraId="000000E9">
      <w:pPr>
        <w:widowControl w:val="1"/>
        <w:spacing w:after="100" w:line="249.60000000000002" w:lineRule="auto"/>
        <w:ind w:left="680" w:hanging="340"/>
        <w:rPr>
          <w:sz w:val="18"/>
          <w:szCs w:val="18"/>
        </w:rPr>
      </w:pPr>
      <w:r>
        <w:t>[6] L. Grinsztajn, E. Oyallon, and G. Varoquaux, "Why do tree-based models still outperform deep learning on typical tabular data?," in Adv. Neural Inf. Process. Syst. (NeurIPS), Datasets and Benchmarks Track, vol. 35, pp. 507–520, 2022.</w:t>
      </w:r>
    </w:p>
    <w:p w:rsidR="00000000" w:rsidDel="00000000" w:rsidP="00000000" w:rsidRDefault="00000000" w:rsidRPr="00000000" w14:paraId="000000EA">
      <w:pPr>
        <w:widowControl w:val="1"/>
        <w:spacing w:after="100" w:line="249.60000000000002" w:lineRule="auto"/>
        <w:ind w:left="680" w:hanging="340"/>
        <w:rPr>
          <w:sz w:val="18"/>
          <w:szCs w:val="18"/>
        </w:rPr>
      </w:pPr>
      <w:r>
        <w:t>[7] Modeling the Green Cloud Continuum: integrating energy considerations into Cloud–Edge models, Cluster Computing, Springer, 2024, doi: 10.1007/s10586-024-04383-w.</w:t>
      </w:r>
    </w:p>
    <w:p w:rsidR="00000000" w:rsidDel="00000000" w:rsidP="00000000" w:rsidRDefault="00000000" w:rsidRPr="00000000" w14:paraId="000000EB">
      <w:pPr>
        <w:widowControl w:val="1"/>
        <w:spacing w:after="100" w:line="249.60000000000002" w:lineRule="auto"/>
        <w:ind w:left="680" w:hanging="340"/>
        <w:rPr>
          <w:sz w:val="18"/>
          <w:szCs w:val="18"/>
        </w:rPr>
      </w:pPr>
      <w:r>
        <w:t>[8] International Organization for Standardization, ISO 14040:2006 Environmental management — Life cycle assessment — Principles and framework. Geneva: ISO, 2006.</w:t>
      </w:r>
    </w:p>
    <w:p w:rsidR="00000000" w:rsidDel="00000000" w:rsidP="00000000" w:rsidRDefault="00000000" w:rsidRPr="00000000" w14:paraId="000000EC">
      <w:pPr>
        <w:widowControl w:val="1"/>
        <w:spacing w:after="100" w:line="249.60000000000002" w:lineRule="auto"/>
        <w:ind w:left="680" w:hanging="340"/>
        <w:rPr>
          <w:sz w:val="18"/>
          <w:szCs w:val="18"/>
        </w:rPr>
      </w:pPr>
      <w:r>
        <w:t>[9] International Organization for Standardization, ISO 14044:2006 Environmental management — Life cycle assessment — Requirements and guidelines. Geneva: ISO, 2006.</w:t>
      </w:r>
    </w:p>
    <w:p w:rsidR="00000000" w:rsidDel="00000000" w:rsidP="00000000" w:rsidRDefault="00000000" w:rsidRPr="00000000" w14:paraId="000000ED">
      <w:pPr>
        <w:widowControl w:val="1"/>
        <w:spacing w:after="100" w:line="249.60000000000002" w:lineRule="auto"/>
        <w:ind w:left="680" w:hanging="340"/>
        <w:rPr>
          <w:sz w:val="18"/>
          <w:szCs w:val="18"/>
        </w:rPr>
      </w:pPr>
      <w:r>
        <w:t>[10] Greenhouse Gas Protocol, A Corporate Accounting and Reporting Standard, rev. ed. World Resources Institute / World Business Council for Sustainable Development, 2015.</w:t>
      </w:r>
    </w:p>
    <w:p w:rsidR="00000000" w:rsidDel="00000000" w:rsidP="00000000" w:rsidRDefault="00000000" w:rsidRPr="00000000" w14:paraId="000000EE">
      <w:pPr>
        <w:widowControl w:val="1"/>
        <w:spacing w:after="100" w:line="249.60000000000002" w:lineRule="auto"/>
        <w:ind w:left="680" w:hanging="340"/>
        <w:rPr>
          <w:sz w:val="18"/>
          <w:szCs w:val="18"/>
        </w:rPr>
      </w:pPr>
      <w:r>
        <w:t>[11] K. C. Adeyemi et al., "Digital twin-driven strategic demolition plan for circular asset management of bridge infrastructures," PMC, 2024. Available: https://www.ncbi.nlm.nih.gov/pmc/articles/PMC11950195/.</w:t>
      </w:r>
    </w:p>
    <w:p w:rsidR="00000000" w:rsidDel="00000000" w:rsidP="00000000" w:rsidRDefault="00000000" w:rsidRPr="00000000" w14:paraId="000000EF">
      <w:pPr>
        <w:widowControl w:val="1"/>
        <w:spacing w:after="100" w:line="249.60000000000002" w:lineRule="auto"/>
        <w:ind w:left="680" w:hanging="340"/>
        <w:rPr>
          <w:sz w:val="18"/>
          <w:szCs w:val="18"/>
        </w:rPr>
      </w:pPr>
      <w:r>
        <w:t>[12] A. Arias, G. Feijoo, and M. T. Moreira, "Dynamic life cycle assessment in environmental assessment of processes and products: a scoping review of sectoral applications, digitalization, decision support, and policy relevance," Environ. Impact Assess. Rev., vol. 121, p. 108552, 2026, doi: 10.1016/j.eiar.2026.108552.</w:t>
      </w:r>
    </w:p>
    <w:p w:rsidR="00000000" w:rsidDel="00000000" w:rsidP="00000000" w:rsidRDefault="00000000" w:rsidRPr="00000000" w14:paraId="000000F0">
      <w:pPr>
        <w:widowControl w:val="1"/>
        <w:spacing w:after="100" w:line="249.60000000000002" w:lineRule="auto"/>
        <w:ind w:left="680" w:hanging="340"/>
        <w:rPr>
          <w:sz w:val="18"/>
          <w:szCs w:val="18"/>
        </w:rPr>
      </w:pPr>
      <w:r>
        <w:t>[13] D. B. Olawade, J. O. Ijiwade, A. Ojo, J. O. Alabi, B. D. Makanjuola, and O. Z. Wada, "Digital twin technology for environmental management: applications, benefits, and implementation challenges," Environ. Pollut. Manag., vol. 3, pp. 418–435, 2026, doi: 10.1016/j.epm.2026.07.003.</w:t>
      </w:r>
    </w:p>
    <w:p w:rsidR="00000000" w:rsidDel="00000000" w:rsidP="00000000" w:rsidRDefault="00000000" w:rsidRPr="00000000" w14:paraId="000000F1">
      <w:pPr>
        <w:widowControl w:val="1"/>
        <w:spacing w:after="100" w:line="249.60000000000002" w:lineRule="auto"/>
        <w:ind w:left="680" w:hanging="340"/>
        <w:rPr>
          <w:sz w:val="18"/>
          <w:szCs w:val="18"/>
        </w:rPr>
      </w:pPr>
      <w:r>
        <w:t>[14] R. Aiasrah, R. Wehbi, V. Ikalovic, A. Aljer, and M. Sadek, "Digital twins for building sustainability: a life cycle-oriented critical review," Sustain. Cities Soc. Adv., vol. 2, art. 100091, 2026, doi: 10.1016/j.scsadv.2026.100091.</w:t>
      </w:r>
    </w:p>
    <w:p w:rsidR="00000000" w:rsidDel="00000000" w:rsidP="00000000" w:rsidRDefault="00000000" w:rsidRPr="00000000" w14:paraId="000000F2">
      <w:pPr>
        <w:widowControl w:val="1"/>
        <w:spacing w:after="100" w:line="249.60000000000002" w:lineRule="auto"/>
        <w:ind w:left="680" w:hanging="340"/>
        <w:rPr>
          <w:sz w:val="18"/>
          <w:szCs w:val="18"/>
        </w:rPr>
      </w:pPr>
      <w:r>
        <w:t>[15] M. N. Shubairi, P. Furtado, and R. F. Carvalho, "Decision support systems for digital twins in aquaculture: a systematic literature review," Aquac. Eng., vol. 114, art. 102728, 2026, doi: 10.1016/j.aquaeng.2026.102728.</w:t>
      </w:r>
    </w:p>
    <w:p w:rsidR="00000000" w:rsidDel="00000000" w:rsidP="00000000" w:rsidRDefault="00000000" w:rsidRPr="00000000" w14:paraId="000000F3">
      <w:pPr>
        <w:widowControl w:val="1"/>
        <w:spacing w:after="100" w:line="249.60000000000002" w:lineRule="auto"/>
        <w:ind w:left="680" w:hanging="340"/>
        <w:rPr>
          <w:sz w:val="18"/>
          <w:szCs w:val="18"/>
        </w:rPr>
      </w:pPr>
      <w:r>
        <w:t>[16] F. Briatore, F. Chiacchio, N. Trapani, and L. M. Oliveri, "A bibliometric review for mapping synergies between life cycle assessment and industry 4.0 in the food sector," Discover Food, vol. 6, art. 102, 2026, doi: 10.1007/s44187-026-00837-9.</w:t>
      </w:r>
    </w:p>
    <w:p w:rsidR="00000000" w:rsidDel="00000000" w:rsidP="00000000" w:rsidRDefault="00000000" w:rsidRPr="00000000" w14:paraId="000000F4">
      <w:pPr>
        <w:widowControl w:val="1"/>
        <w:spacing w:after="100" w:line="249.60000000000002" w:lineRule="auto"/>
        <w:ind w:left="680" w:hanging="340"/>
        <w:rPr>
          <w:sz w:val="18"/>
          <w:szCs w:val="18"/>
        </w:rPr>
      </w:pPr>
      <w:r>
        <w:t>[17] S. Toniolo, G. Pierli, L. Bravi, L. Liberatore, and F. Murmura, "Digital technologies and circularity: trade-offs in the development of life cycle assessment," Int. J. Life Cycle Assess., vol. 30, no. 12, pp. 2537–2557, 2025, doi: 10.1007/s11367-025-02436-9.</w:t>
      </w:r>
    </w:p>
    <w:p w:rsidR="00000000" w:rsidDel="00000000" w:rsidP="00000000" w:rsidRDefault="00000000" w:rsidRPr="00000000" w14:paraId="000000F5">
      <w:pPr>
        <w:widowControl w:val="1"/>
        <w:spacing w:after="100" w:line="249.60000000000002" w:lineRule="auto"/>
        <w:ind w:left="680" w:hanging="340"/>
        <w:rPr>
          <w:sz w:val="18"/>
          <w:szCs w:val="18"/>
        </w:rPr>
      </w:pPr>
      <w:r>
        <w:t>[18] K. Khaqan et al., "Exploring digital twins in agriculture with current applications and implications for research, policy and practice," Discover Agriculture, vol. 4, p. 278, 2026, doi: 10.1007/s44279-026-00760-8.</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pPr>
        <w:pStyle w:val="Heading1"/>
      </w:pPr>
      <w:r>
        <w:t>Apéndice A Material suplementario y reproducibilidad</w:t>
      </w:r>
    </w:p>
    <w:p>
      <w:r>
        <w:t>Este apéndice especifica los elementos necesarios para repetir el experimento y delimita el alcance de sus resultados. Los archivos señalados se entregan en el paquete suplementario resultados_experimento.</w:t>
      </w:r>
    </w:p>
    <w:p>
      <w:pPr>
        <w:pStyle w:val="Heading2"/>
      </w:pPr>
      <w:r>
        <w:t>A.1 Entorno y procedimiento</w:t>
      </w:r>
    </w:p>
    <w:tbl>
      <w:tblPr>
        <w:tblStyle w:val="Tablaconcuadrcula"/>
        <w:tblW w:type="auto" w:w="0"/>
        <w:jc w:val="center"/>
        <w:tblLayout w:type="fixed"/>
        <w:tblLook w:firstColumn="1" w:firstRow="1" w:lastColumn="0" w:lastRow="0" w:noHBand="0" w:noVBand="1" w:val="04A0"/>
      </w:tblPr>
      <w:tblGrid>
        <w:gridCol w:w="5233"/>
        <w:gridCol w:w="5233"/>
      </w:tblGrid>
      <w:tr>
        <w:tc>
          <w:tcPr>
            <w:tcW w:type="dxa" w:w="1296"/>
            <w:vAlign w:val="center"/>
          </w:tcPr>
          <w:p>
            <w:pPr>
              <w:spacing w:after="40"/>
            </w:pPr>
            <w:r>
              <w:rPr>
                <w:rFonts w:ascii="Arial" w:hAnsi="Arial"/>
              </w:rPr>
              <w:t>Elemento</w:t>
            </w:r>
          </w:p>
        </w:tc>
        <w:tc>
          <w:tcPr>
            <w:tcW w:type="dxa" w:w="3456"/>
            <w:vAlign w:val="center"/>
          </w:tcPr>
          <w:p>
            <w:pPr>
              <w:spacing w:after="40"/>
            </w:pPr>
            <w:r>
              <w:rPr>
                <w:rFonts w:ascii="Arial" w:hAnsi="Arial"/>
              </w:rPr>
              <w:t>Configuración evaluada</w:t>
            </w:r>
          </w:p>
        </w:tc>
      </w:tr>
      <w:tr>
        <w:tc>
          <w:tcPr>
            <w:tcW w:type="dxa" w:w="1296"/>
            <w:vAlign w:val="center"/>
          </w:tcPr>
          <w:p>
            <w:pPr>
              <w:spacing w:after="40"/>
            </w:pPr>
            <w:r>
              <w:rPr>
                <w:rFonts w:ascii="Arial" w:hAnsi="Arial"/>
              </w:rPr>
              <w:t>Sistema operativo</w:t>
            </w:r>
          </w:p>
        </w:tc>
        <w:tc>
          <w:tcPr>
            <w:tcW w:type="dxa" w:w="3456"/>
            <w:vAlign w:val="center"/>
          </w:tcPr>
          <w:p>
            <w:pPr>
              <w:spacing w:after="40"/>
            </w:pPr>
            <w:r>
              <w:rPr>
                <w:rFonts w:ascii="Arial" w:hAnsi="Arial"/>
              </w:rPr>
              <w:t>Windows 10 10.0.26200 SP0</w:t>
            </w:r>
          </w:p>
        </w:tc>
      </w:tr>
      <w:tr>
        <w:tc>
          <w:tcPr>
            <w:tcW w:type="dxa" w:w="1296"/>
            <w:vAlign w:val="center"/>
          </w:tcPr>
          <w:p>
            <w:pPr>
              <w:spacing w:after="40"/>
            </w:pPr>
            <w:r>
              <w:rPr>
                <w:rFonts w:ascii="Arial" w:hAnsi="Arial"/>
              </w:rPr>
              <w:t>Semilla</w:t>
            </w:r>
          </w:p>
        </w:tc>
        <w:tc>
          <w:tcPr>
            <w:tcW w:type="dxa" w:w="3456"/>
            <w:vAlign w:val="center"/>
          </w:tcPr>
          <w:p>
            <w:pPr>
              <w:spacing w:after="40"/>
            </w:pPr>
            <w:r>
              <w:rPr>
                <w:rFonts w:ascii="Arial" w:hAnsi="Arial"/>
              </w:rPr>
              <w:t>42 en Python, NumPy, scikit-learn y XGBoost</w:t>
            </w:r>
          </w:p>
        </w:tc>
      </w:tr>
      <w:tr>
        <w:tc>
          <w:tcPr>
            <w:tcW w:type="dxa" w:w="1296"/>
            <w:vAlign w:val="center"/>
          </w:tcPr>
          <w:p>
            <w:pPr>
              <w:spacing w:after="40"/>
            </w:pPr>
            <w:r>
              <w:rPr>
                <w:rFonts w:ascii="Arial" w:hAnsi="Arial"/>
              </w:rPr>
              <w:t>Python</w:t>
            </w:r>
          </w:p>
        </w:tc>
        <w:tc>
          <w:tcPr>
            <w:tcW w:type="dxa" w:w="3456"/>
            <w:vAlign w:val="center"/>
          </w:tcPr>
          <w:p>
            <w:pPr>
              <w:spacing w:after="40"/>
            </w:pPr>
            <w:r>
              <w:rPr>
                <w:rFonts w:ascii="Arial" w:hAnsi="Arial"/>
              </w:rPr>
              <w:t>3.11.0</w:t>
            </w:r>
          </w:p>
        </w:tc>
      </w:tr>
      <w:tr>
        <w:tc>
          <w:tcPr>
            <w:tcW w:type="dxa" w:w="1296"/>
            <w:vAlign w:val="center"/>
          </w:tcPr>
          <w:p>
            <w:pPr>
              <w:spacing w:after="40"/>
            </w:pPr>
            <w:r>
              <w:rPr>
                <w:rFonts w:ascii="Arial" w:hAnsi="Arial"/>
              </w:rPr>
              <w:t>Node.js</w:t>
            </w:r>
          </w:p>
        </w:tc>
        <w:tc>
          <w:tcPr>
            <w:tcW w:type="dxa" w:w="3456"/>
            <w:vAlign w:val="center"/>
          </w:tcPr>
          <w:p>
            <w:pPr>
              <w:spacing w:after="40"/>
            </w:pPr>
            <w:r>
              <w:rPr>
                <w:rFonts w:ascii="Arial" w:hAnsi="Arial"/>
              </w:rPr>
              <w:t>20.19.4</w:t>
            </w:r>
          </w:p>
        </w:tc>
      </w:tr>
      <w:tr>
        <w:tc>
          <w:tcPr>
            <w:tcW w:type="dxa" w:w="1296"/>
            <w:vAlign w:val="center"/>
          </w:tcPr>
          <w:p>
            <w:pPr>
              <w:spacing w:after="40"/>
            </w:pPr>
            <w:r>
              <w:rPr>
                <w:rFonts w:ascii="Arial" w:hAnsi="Arial"/>
              </w:rPr>
              <w:t>Commit</w:t>
            </w:r>
          </w:p>
        </w:tc>
        <w:tc>
          <w:tcPr>
            <w:tcW w:type="dxa" w:w="3456"/>
            <w:vAlign w:val="center"/>
          </w:tcPr>
          <w:p>
            <w:pPr>
              <w:spacing w:after="40"/>
            </w:pPr>
            <w:r>
              <w:rPr>
                <w:rFonts w:ascii="Arial" w:hAnsi="Arial"/>
              </w:rPr>
              <w:t>cefeef88af6115fffc624a09eb375595d6a5b208</w:t>
            </w:r>
          </w:p>
        </w:tc>
      </w:tr>
      <w:tr>
        <w:tc>
          <w:tcPr>
            <w:tcW w:type="dxa" w:w="1296"/>
            <w:vAlign w:val="center"/>
          </w:tcPr>
          <w:p>
            <w:pPr>
              <w:spacing w:after="40"/>
            </w:pPr>
            <w:r>
              <w:rPr>
                <w:rFonts w:ascii="Arial" w:hAnsi="Arial"/>
              </w:rPr>
              <w:t>Horizonte</w:t>
            </w:r>
          </w:p>
        </w:tc>
        <w:tc>
          <w:tcPr>
            <w:tcW w:type="dxa" w:w="3456"/>
            <w:vAlign w:val="center"/>
          </w:tcPr>
          <w:p>
            <w:pPr>
              <w:spacing w:after="40"/>
            </w:pPr>
            <w:r>
              <w:rPr>
                <w:rFonts w:ascii="Arial" w:hAnsi="Arial"/>
              </w:rPr>
              <w:t>3 años; maíz; 10 ha; 30 sensores</w:t>
            </w:r>
          </w:p>
        </w:tc>
      </w:tr>
      <w:tr>
        <w:tc>
          <w:tcPr>
            <w:tcW w:type="dxa" w:w="1296"/>
            <w:vAlign w:val="center"/>
          </w:tcPr>
          <w:p>
            <w:pPr>
              <w:spacing w:after="40"/>
            </w:pPr>
            <w:r>
              <w:rPr>
                <w:rFonts w:ascii="Arial" w:hAnsi="Arial"/>
              </w:rPr>
              <w:t>ML</w:t>
            </w:r>
          </w:p>
        </w:tc>
        <w:tc>
          <w:tcPr>
            <w:tcW w:type="dxa" w:w="3456"/>
            <w:vAlign w:val="center"/>
          </w:tcPr>
          <w:p>
            <w:pPr>
              <w:spacing w:after="40"/>
            </w:pPr>
            <w:r>
              <w:rPr>
                <w:rFonts w:ascii="Arial" w:hAnsi="Arial"/>
              </w:rPr>
              <w:t>2500 registros sintéticos; entrenamiento/prueba 80/20; búsqueda 5 folds; evaluación 10 folds</w:t>
            </w:r>
          </w:p>
        </w:tc>
      </w:tr>
      <w:tr>
        <w:tc>
          <w:tcPr>
            <w:tcW w:type="dxa" w:w="1296"/>
            <w:vAlign w:val="center"/>
          </w:tcPr>
          <w:p>
            <w:pPr>
              <w:spacing w:after="40"/>
            </w:pPr>
            <w:r>
              <w:rPr>
                <w:rFonts w:ascii="Arial" w:hAnsi="Arial"/>
              </w:rPr>
              <w:t>Bootstrap</w:t>
            </w:r>
          </w:p>
        </w:tc>
        <w:tc>
          <w:tcPr>
            <w:tcW w:type="dxa" w:w="3456"/>
            <w:vAlign w:val="center"/>
          </w:tcPr>
          <w:p>
            <w:pPr>
              <w:spacing w:after="40"/>
            </w:pPr>
            <w:r>
              <w:rPr>
                <w:rFonts w:ascii="Arial" w:hAnsi="Arial"/>
              </w:rPr>
              <w:t>2000 réplicas; nivel de significancia alpha = 0.05</w:t>
            </w:r>
          </w:p>
        </w:tc>
      </w:tr>
    </w:tbl>
    <w:p>
      <w:pPr>
        <w:jc w:val="left"/>
      </w:pPr>
      <w:r>
        <w:rPr>
          <w:sz w:val="16"/>
        </w:rPr>
        <w:t>Comandos de reproducción:</w:t>
        <w:br/>
        <w:t>1. npx tsx scripts/run-experiment-lca.ts resultados_experimento</w:t>
        <w:br/>
        <w:t>2. py -3.11 scripts/run_experiment_ml.py</w:t>
        <w:br/>
        <w:t>3. py -3.11 scripts/build_experiment_outputs.py</w:t>
      </w:r>
    </w:p>
    <w:p>
      <w:pPr>
        <w:pStyle w:val="Heading2"/>
      </w:pPr>
      <w:r>
        <w:t>A.2 Hiperparámetros finales</w:t>
      </w:r>
    </w:p>
    <w:tbl>
      <w:tblPr>
        <w:tblStyle w:val="Tablaconcuadrcula"/>
        <w:tblW w:type="auto" w:w="0"/>
        <w:jc w:val="center"/>
        <w:tblLayout w:type="fixed"/>
        <w:tblLook w:firstColumn="1" w:firstRow="1" w:lastColumn="0" w:lastRow="0" w:noHBand="0" w:noVBand="1" w:val="04A0"/>
      </w:tblPr>
      <w:tblGrid>
        <w:gridCol w:w="5233"/>
        <w:gridCol w:w="5233"/>
      </w:tblGrid>
      <w:tr>
        <w:tc>
          <w:tcPr>
            <w:tcW w:type="dxa" w:w="1296"/>
            <w:vAlign w:val="center"/>
          </w:tcPr>
          <w:p>
            <w:pPr>
              <w:spacing w:after="40"/>
            </w:pPr>
            <w:r>
              <w:rPr>
                <w:rFonts w:ascii="Arial" w:hAnsi="Arial"/>
              </w:rPr>
              <w:t>Modelo</w:t>
            </w:r>
          </w:p>
        </w:tc>
        <w:tc>
          <w:tcPr>
            <w:tcW w:type="dxa" w:w="3456"/>
            <w:vAlign w:val="center"/>
          </w:tcPr>
          <w:p>
            <w:pPr>
              <w:spacing w:after="40"/>
            </w:pPr>
            <w:r>
              <w:rPr>
                <w:rFonts w:ascii="Arial" w:hAnsi="Arial"/>
              </w:rPr>
              <w:t>Configuración seleccionada</w:t>
            </w:r>
          </w:p>
        </w:tc>
      </w:tr>
      <w:tr>
        <w:tc>
          <w:tcPr>
            <w:tcW w:type="dxa" w:w="1296"/>
            <w:vAlign w:val="center"/>
          </w:tcPr>
          <w:p>
            <w:pPr>
              <w:spacing w:after="40"/>
            </w:pPr>
            <w:r>
              <w:rPr>
                <w:rFonts w:ascii="Arial" w:hAnsi="Arial"/>
              </w:rPr>
              <w:t>Random Forest</w:t>
            </w:r>
          </w:p>
        </w:tc>
        <w:tc>
          <w:tcPr>
            <w:tcW w:type="dxa" w:w="3456"/>
            <w:vAlign w:val="center"/>
          </w:tcPr>
          <w:p>
            <w:pPr>
              <w:spacing w:after="40"/>
            </w:pPr>
            <w:r>
              <w:rPr>
                <w:rFonts w:ascii="Arial" w:hAnsi="Arial"/>
              </w:rPr>
              <w:t>n_estimators=200; max_depth=30; max_features=log2; min_samples_split=2; min_samples_leaf=1</w:t>
            </w:r>
          </w:p>
        </w:tc>
      </w:tr>
      <w:tr>
        <w:tc>
          <w:tcPr>
            <w:tcW w:type="dxa" w:w="1296"/>
            <w:vAlign w:val="center"/>
          </w:tcPr>
          <w:p>
            <w:pPr>
              <w:spacing w:after="40"/>
            </w:pPr>
            <w:r>
              <w:rPr>
                <w:rFonts w:ascii="Arial" w:hAnsi="Arial"/>
              </w:rPr>
              <w:t>XGBoost</w:t>
            </w:r>
          </w:p>
        </w:tc>
        <w:tc>
          <w:tcPr>
            <w:tcW w:type="dxa" w:w="3456"/>
            <w:vAlign w:val="center"/>
          </w:tcPr>
          <w:p>
            <w:pPr>
              <w:spacing w:after="40"/>
            </w:pPr>
            <w:r>
              <w:rPr>
                <w:rFonts w:ascii="Arial" w:hAnsi="Arial"/>
              </w:rPr>
              <w:t>n_estimators=500; max_depth=4; learning_rate=0.1; subsample=0.8; colsample_bytree=0.8; reg_alpha=0.5; reg_lambda=2.0</w:t>
            </w:r>
          </w:p>
        </w:tc>
      </w:tr>
      <w:tr>
        <w:tc>
          <w:tcPr>
            <w:tcW w:type="dxa" w:w="1296"/>
            <w:vAlign w:val="center"/>
          </w:tcPr>
          <w:p>
            <w:pPr>
              <w:spacing w:after="40"/>
            </w:pPr>
            <w:r>
              <w:rPr>
                <w:rFonts w:ascii="Arial" w:hAnsi="Arial"/>
              </w:rPr>
              <w:t>SVR</w:t>
            </w:r>
          </w:p>
        </w:tc>
        <w:tc>
          <w:tcPr>
            <w:tcW w:type="dxa" w:w="3456"/>
            <w:vAlign w:val="center"/>
          </w:tcPr>
          <w:p>
            <w:pPr>
              <w:spacing w:after="40"/>
            </w:pPr>
            <w:r>
              <w:rPr>
                <w:rFonts w:ascii="Arial" w:hAnsi="Arial"/>
              </w:rPr>
              <w:t>kernel=rbf; C=500; epsilon=0.01; gamma=auto</w:t>
            </w:r>
          </w:p>
        </w:tc>
      </w:tr>
      <w:tr>
        <w:tc>
          <w:tcPr>
            <w:tcW w:type="dxa" w:w="1296"/>
            <w:vAlign w:val="center"/>
          </w:tcPr>
          <w:p>
            <w:pPr>
              <w:spacing w:after="40"/>
            </w:pPr>
            <w:r>
              <w:rPr>
                <w:rFonts w:ascii="Arial" w:hAnsi="Arial"/>
              </w:rPr>
              <w:t>Stacking</w:t>
            </w:r>
          </w:p>
        </w:tc>
        <w:tc>
          <w:tcPr>
            <w:tcW w:type="dxa" w:w="3456"/>
            <w:vAlign w:val="center"/>
          </w:tcPr>
          <w:p>
            <w:pPr>
              <w:spacing w:after="40"/>
            </w:pPr>
            <w:r>
              <w:rPr>
                <w:rFonts w:ascii="Arial" w:hAnsi="Arial"/>
              </w:rPr>
              <w:t>final_estimator Ridge; alpha=100; base estimators RF, XGBoost y SVR</w:t>
            </w:r>
          </w:p>
        </w:tc>
      </w:tr>
      <w:tr>
        <w:tc>
          <w:tcPr>
            <w:tcW w:type="dxa" w:w="1296"/>
            <w:vAlign w:val="center"/>
          </w:tcPr>
          <w:p>
            <w:pPr>
              <w:spacing w:after="40"/>
            </w:pPr>
            <w:r>
              <w:rPr>
                <w:rFonts w:ascii="Arial" w:hAnsi="Arial"/>
              </w:rPr>
              <w:t>Blending</w:t>
            </w:r>
          </w:p>
        </w:tc>
        <w:tc>
          <w:tcPr>
            <w:tcW w:type="dxa" w:w="3456"/>
            <w:vAlign w:val="center"/>
          </w:tcPr>
          <w:p>
            <w:pPr>
              <w:spacing w:after="40"/>
            </w:pPr>
            <w:r>
              <w:rPr>
                <w:rFonts w:ascii="Arial" w:hAnsi="Arial"/>
              </w:rPr>
              <w:t>weights RF=0.4; XGBoost=0.5; SVR=0.1</w:t>
            </w:r>
          </w:p>
        </w:tc>
      </w:tr>
    </w:tbl>
    <w:p>
      <w:pPr>
        <w:pStyle w:val="Heading2"/>
      </w:pPr>
      <w:r>
        <w:t>A.3 Trazabilidad de factores y alcance</w:t>
      </w:r>
    </w:p>
    <w:p>
      <w:r>
        <w:t>El registro de factores incluido en el material suplementario conserva la procedencia declarada para cada factor; la Tabla 1 resume los valores empleados. Los factores del registro de AP-9 están explícitamente marcados como demostrativos. Por tanto, los resultados se interpretan como una evaluación reproducible del comportamiento del motor y de decisiones relativas entre arquitecturas, no como un inventario certificado de una explotación real. No se ejecutó Monte Carlo porque el registro no proporciona distribuciones ni rangos de incertidumbre validados; no se introdujeron distribuciones supuestas.</w:t>
      </w:r>
    </w:p>
    <w:p>
      <w:pPr>
        <w:pStyle w:val="Heading2"/>
      </w:pPr>
      <w:r>
        <w:t>A.4 Material suplementario entregado</w:t>
      </w:r>
    </w:p>
    <w:p>
      <w:r>
        <w:t>El paquete incluye: 00_reporte_ejecucion.md; 01_configuracion_escenarios.csv; 02_validacion_motor_lca.csv; 03_resultados_arquitecturas.csv; 04_desglose_capas_etapas.csv; 07_analisis_sensibilidad.csv; 08_metricas_modelos.csv; 09_metricas_por_fold.csv; 10_pruebas_estadisticas.csv; 11_importancia_variables.csv; 12_hiperparametros.json; 13_metadatos_reproducibilidad.json; 14_limitaciones.md y 15_verificacion_reproducibilidad.json. Una segunda ejecución con la misma semilla reprodujo los totales LCA y las métricas ML.</w:t>
      </w:r>
    </w:p>
    <w:p>
      <w:pPr>
        <w:pStyle w:val="Heading2"/>
      </w:pPr>
      <w:r>
        <w:t>A.5 Consideraciones responsables de IA</w:t>
      </w:r>
    </w:p>
    <w:p>
      <w:r>
        <w:t>El conjunto para aprendizaje automático es sintético y no contiene datos personales ni atributos protegidos. El riesgo principal no es la discriminación sobre personas, sino la extrapolación indebida: el modelo aprende relaciones del generador implementado y no debe utilizarse para inferir emisiones agrícolas reales sin calibración externa. La revisión humana verificó los parámetros, las métricas y los resultados exportados.</w:t>
      </w:r>
    </w:p>
    <w:sectPr>
      <w:type w:val="continuous"/>
      <w:pgSz w:h="16838" w:w="11906" w:orient="portrait"/>
      <w:pgMar w:bottom="1134" w:top="1560" w:left="720" w:right="720" w:header="607" w:footer="641"/>
      <w:cols w:equalWidth="0" w:num="2">
        <w:col w:space="240" w:w="5113"/>
        <w:col w:space="0" w:w="511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Kozuka Gothic Pro B"/>
  <w:font w:name="Book Antiqu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30" w:lineRule="auto"/>
      <w:ind w:left="0" w:right="0" w:firstLine="0"/>
      <w:jc w:val="both"/>
      <w:rPr>
        <w:rFonts w:ascii="Palatino" w:cs="Palatino" w:eastAsia="Palatino" w:hAnsi="Palatino"/>
        <w:b w:val="0"/>
        <w:bCs w:val="0"/>
        <w:i w:val="0"/>
        <w:iCs w:val="0"/>
        <w:smallCaps w:val="0"/>
        <w:strike w:val="0"/>
        <w:color w:val="000000"/>
        <w:sz w:val="19"/>
        <w:szCs w:val="19"/>
        <w:u w:val="none"/>
        <w:shd w:fill="auto" w:val="clear"/>
        <w:vertAlign w:val="baseline"/>
      </w:rPr>
    </w:pP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30" w:lineRule="auto"/>
      <w:ind w:left="0" w:right="0" w:firstLine="0"/>
      <w:jc w:val="both"/>
      <w:rPr>
        <w:rFonts w:ascii="Palatino" w:cs="Palatino" w:eastAsia="Palatino" w:hAnsi="Palatino"/>
        <w:b w:val="0"/>
        <w:bCs w:val="0"/>
        <w:i w:val="0"/>
        <w:iCs w:val="0"/>
        <w:smallCaps w:val="0"/>
        <w:strike w:val="0"/>
        <w:color w:val="000000"/>
        <w:sz w:val="19"/>
        <w:szCs w:val="19"/>
        <w:u w:val="none"/>
        <w:shd w:fill="auto" w:val="clear"/>
        <w:vertAlign w:val="baseline"/>
      </w:rPr>
    </w:pP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30" w:lineRule="auto"/>
      <w:ind w:left="0" w:right="0" w:firstLine="0"/>
      <w:jc w:val="both"/>
      <w:rPr>
        <w:rFonts w:ascii="Palatino" w:cs="Palatino" w:eastAsia="Palatino" w:hAnsi="Palatino"/>
        <w:b w:val="0"/>
        <w:bCs w:val="0"/>
        <w:i w:val="0"/>
        <w:iCs w:val="0"/>
        <w:smallCaps w:val="0"/>
        <w:strike w:val="0"/>
        <w:color w:val="000000"/>
        <w:sz w:val="19"/>
        <w:szCs w:val="19"/>
        <w:u w:val="none"/>
        <w:shd w:fill="auto" w:val="clear"/>
        <w:vertAlign w:val="baseline"/>
      </w:rPr>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30" w:lineRule="auto"/>
      <w:ind w:left="0" w:right="0" w:firstLine="0"/>
      <w:jc w:val="both"/>
      <w:rPr>
        <w:rFonts w:ascii="Palatino" w:cs="Palatino" w:eastAsia="Palatino" w:hAnsi="Palatino"/>
        <w:b w:val="0"/>
        <w:bCs w:val="0"/>
        <w:i w:val="0"/>
        <w:iCs w:val="0"/>
        <w:smallCaps w:val="0"/>
        <w:strike w:val="0"/>
        <w:color w:val="000000"/>
        <w:sz w:val="19"/>
        <w:szCs w:val="19"/>
        <w:u w:val="none"/>
        <w:shd w:fill="auto" w:val="clear"/>
        <w:vertAlign w:val="baseline"/>
      </w:rPr>
    </w:pP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30" w:lineRule="auto"/>
      <w:ind w:left="0" w:right="0" w:firstLine="0"/>
      <w:jc w:val="both"/>
      <w:rPr>
        <w:rFonts w:ascii="Palatino" w:cs="Palatino" w:eastAsia="Palatino" w:hAnsi="Palatino"/>
        <w:b w:val="0"/>
        <w:bCs w:val="0"/>
        <w:i w:val="0"/>
        <w:iCs w:val="0"/>
        <w:smallCaps w:val="0"/>
        <w:strike w:val="0"/>
        <w:color w:val="000000"/>
        <w:sz w:val="19"/>
        <w:szCs w:val="19"/>
        <w:u w:val="none"/>
        <w:shd w:fill="auto" w:val="clear"/>
        <w:vertAlign w:val="baseline"/>
      </w:rPr>
    </w:pP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30" w:lineRule="auto"/>
      <w:ind w:left="0" w:right="0" w:firstLine="0"/>
      <w:jc w:val="both"/>
      <w:rPr>
        <w:rFonts w:ascii="Palatino" w:cs="Palatino" w:eastAsia="Palatino" w:hAnsi="Palatino"/>
        <w:b w:val="0"/>
        <w:bCs w:val="0"/>
        <w:i w:val="0"/>
        <w:iCs w:val="0"/>
        <w:smallCaps w:val="0"/>
        <w:strike w:val="0"/>
        <w:color w:val="000000"/>
        <w:sz w:val="19"/>
        <w:szCs w:val="19"/>
        <w:u w:val="none"/>
        <w:shd w:fill="auto" w:val="clear"/>
        <w:vertAlign w:val="baseline"/>
      </w:rPr>
    </w:pP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30" w:lineRule="auto"/>
      <w:ind w:left="0" w:right="0" w:firstLine="0"/>
      <w:jc w:val="both"/>
      <w:rPr>
        <w:rFonts w:ascii="Palatino" w:cs="Palatino" w:eastAsia="Palatino" w:hAnsi="Palatino"/>
        <w:b w:val="0"/>
        <w:bCs w:val="0"/>
        <w:i w:val="0"/>
        <w:iCs w:val="0"/>
        <w:smallCaps w:val="0"/>
        <w:strike w:val="0"/>
        <w:color w:val="000000"/>
        <w:sz w:val="19"/>
        <w:szCs w:val="19"/>
        <w:u w:val="none"/>
        <w:shd w:fill="auto" w:val="clear"/>
        <w:vertAlign w:val="baseline"/>
      </w:rPr>
    </w:pP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3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30" w:lineRule="auto"/>
      <w:ind w:left="0" w:right="0" w:firstLine="0"/>
      <w:jc w:val="center"/>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tabs>
        <w:tab w:val="right" w:leader="none" w:pos="10200"/>
      </w:tabs>
      <w:spacing w:after="0" w:before="0" w:line="220" w:lineRule="auto"/>
      <w:ind w:left="0" w:right="0" w:firstLine="0"/>
      <w:jc w:val="both"/>
      <w:rPr>
        <w:rFonts w:ascii="Helvetica Neue" w:cs="Helvetica Neue" w:eastAsia="Helvetica Neue" w:hAnsi="Helvetica Neue"/>
        <w:b w:val="0"/>
        <w:bCs w:val="0"/>
        <w:i w:val="0"/>
        <w:iCs w:val="0"/>
        <w:smallCaps w:val="1"/>
        <w:strike w:val="0"/>
        <w:color w:val="000000"/>
        <w:sz w:val="14"/>
        <w:szCs w:val="14"/>
        <w:u w:val="none"/>
        <w:shd w:fill="auto" w:val="clear"/>
        <w:vertAlign w:val="baseline"/>
      </w:rPr>
    </w:pP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tabs>
        <w:tab w:val="right" w:leader="none" w:pos="10200"/>
      </w:tabs>
      <w:spacing w:after="0" w:before="0" w:line="220" w:lineRule="auto"/>
      <w:ind w:left="0" w:right="0" w:firstLine="0"/>
      <w:jc w:val="both"/>
      <w:rPr>
        <w:rFonts w:ascii="Helvetica Neue" w:cs="Helvetica Neue" w:eastAsia="Helvetica Neue" w:hAnsi="Helvetica Neue"/>
        <w:b w:val="0"/>
        <w:bCs w:val="0"/>
        <w:i w:val="0"/>
        <w:iCs w:val="0"/>
        <w:smallCaps w:val="1"/>
        <w:strike w:val="0"/>
        <w:color w:val="000000"/>
        <w:sz w:val="14"/>
        <w:szCs w:val="14"/>
        <w:u w:val="none"/>
        <w:shd w:fill="auto" w:val="clear"/>
        <w:vertAlign w:val="baseline"/>
      </w:rPr>
    </w:pP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tabs>
        <w:tab w:val="right" w:leader="none" w:pos="10200"/>
      </w:tabs>
      <w:spacing w:after="0" w:before="0" w:line="220" w:lineRule="auto"/>
      <w:ind w:left="0" w:right="0" w:firstLine="0"/>
      <w:jc w:val="right"/>
      <w:rPr>
        <w:rFonts w:ascii="Helvetica Neue" w:cs="Helvetica Neue" w:eastAsia="Helvetica Neue" w:hAnsi="Helvetica Neue"/>
        <w:b w:val="0"/>
        <w:bCs w:val="0"/>
        <w:i w:val="0"/>
        <w:iCs w:val="0"/>
        <w:smallCaps w:val="1"/>
        <w:strike w:val="0"/>
        <w:color w:val="000000"/>
        <w:sz w:val="14"/>
        <w:szCs w:val="14"/>
        <w:u w:val="none"/>
        <w:shd w:fill="auto" w:val="clear"/>
        <w:vertAlign w:val="baseline"/>
      </w:rPr>
    </w:pP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tabs>
        <w:tab w:val="right" w:leader="none" w:pos="10200"/>
      </w:tabs>
      <w:spacing w:after="0" w:before="0" w:line="220" w:lineRule="auto"/>
      <w:ind w:left="0" w:right="0" w:firstLine="0"/>
      <w:jc w:val="both"/>
      <w:rPr>
        <w:rFonts w:ascii="Helvetica Neue" w:cs="Helvetica Neue" w:eastAsia="Helvetica Neue" w:hAnsi="Helvetica Neue"/>
        <w:b w:val="0"/>
        <w:bCs w:val="0"/>
        <w:i w:val="0"/>
        <w:iCs w:val="0"/>
        <w:smallCaps w:val="1"/>
        <w:strike w:val="0"/>
        <w:color w:val="000000"/>
        <w:sz w:val="14"/>
        <w:szCs w:val="14"/>
        <w:u w:val="none"/>
        <w:shd w:fill="auto" w:val="clear"/>
        <w:vertAlign w:val="baseline"/>
      </w:rPr>
    </w:pP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tabs>
        <w:tab w:val="right" w:leader="none" w:pos="10200"/>
      </w:tabs>
      <w:spacing w:after="0" w:before="0" w:line="220" w:lineRule="auto"/>
      <w:ind w:left="0" w:right="0" w:firstLine="0"/>
      <w:jc w:val="both"/>
      <w:rPr>
        <w:rFonts w:ascii="Helvetica Neue" w:cs="Helvetica Neue" w:eastAsia="Helvetica Neue" w:hAnsi="Helvetica Neue"/>
        <w:b w:val="0"/>
        <w:bCs w:val="0"/>
        <w:i w:val="0"/>
        <w:iCs w:val="0"/>
        <w:smallCaps w:val="1"/>
        <w:strike w:val="0"/>
        <w:color w:val="000000"/>
        <w:sz w:val="14"/>
        <w:szCs w:val="14"/>
        <w:u w:val="none"/>
        <w:shd w:fill="auto" w:val="clear"/>
        <w:vertAlign w:val="baseline"/>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w:cs="Palatino" w:eastAsia="Palatino" w:hAnsi="Palatino"/>
        <w:sz w:val="19"/>
        <w:szCs w:val="19"/>
        <w:lang w:val="es-PE"/>
      </w:rPr>
    </w:rPrDefault>
    <w:pPrDefault>
      <w:pPr>
        <w:widowControl w:val="0"/>
        <w:spacing w:line="23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320" w:line="260" w:lineRule="auto"/>
      <w:ind w:left="320" w:hanging="320"/>
      <w:jc w:val="left"/>
    </w:pPr>
    <w:rPr>
      <w:rFonts w:ascii="Helvetica Neue" w:cs="Helvetica Neue" w:eastAsia="Helvetica Neue" w:hAnsi="Helvetica Neue"/>
      <w:b w:val="1"/>
      <w:bCs w:val="1"/>
      <w:smallCaps w:val="1"/>
      <w:sz w:val="23"/>
      <w:szCs w:val="23"/>
    </w:rPr>
  </w:style>
  <w:style w:type="paragraph" w:styleId="Heading2">
    <w:name w:val="heading 2"/>
    <w:basedOn w:val="Normal"/>
    <w:next w:val="Normal"/>
    <w:pPr>
      <w:keepNext w:val="1"/>
      <w:spacing w:after="40" w:before="160" w:line="220" w:lineRule="auto"/>
      <w:ind w:left="360" w:hanging="360"/>
      <w:jc w:val="left"/>
    </w:pPr>
    <w:rPr>
      <w:rFonts w:ascii="Helvetica Neue" w:cs="Helvetica Neue" w:eastAsia="Helvetica Neue" w:hAnsi="Helvetica Neue"/>
      <w:b w:val="1"/>
      <w:bCs w:val="1"/>
      <w:smallCaps w:val="0"/>
      <w:sz w:val="20"/>
      <w:szCs w:val="20"/>
    </w:rPr>
  </w:style>
  <w:style w:type="paragraph" w:styleId="Heading3">
    <w:name w:val="heading 3"/>
    <w:basedOn w:val="Normal"/>
    <w:next w:val="Normal"/>
    <w:pPr>
      <w:keepNext w:val="1"/>
      <w:spacing w:after="40" w:before="160" w:line="220" w:lineRule="auto"/>
      <w:ind w:left="520" w:hanging="520"/>
      <w:jc w:val="left"/>
    </w:pPr>
    <w:rPr>
      <w:rFonts w:ascii="Helvetica Neue" w:cs="Helvetica Neue" w:eastAsia="Helvetica Neue" w:hAnsi="Helvetica Neue"/>
      <w:b w:val="0"/>
      <w:bCs w:val="0"/>
      <w:i w:val="1"/>
      <w:iCs w:val="1"/>
      <w:smallCaps w:val="0"/>
      <w:sz w:val="20"/>
      <w:szCs w:val="20"/>
    </w:rPr>
  </w:style>
  <w:style w:type="paragraph" w:styleId="Heading4">
    <w:name w:val="heading 4"/>
    <w:basedOn w:val="Normal"/>
    <w:next w:val="Normal"/>
    <w:pPr>
      <w:spacing w:line="240" w:lineRule="auto"/>
      <w:ind w:left="360" w:firstLine="216"/>
    </w:pPr>
    <w:rPr>
      <w:rFonts w:ascii="Times New Roman" w:cs="Times New Roman" w:eastAsia="Times New Roman" w:hAnsi="Times New Roman"/>
      <w:sz w:val="24"/>
      <w:szCs w:val="24"/>
      <w:u w:val="singl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 w:customStyle="1">
    <w:name w:val="PARAGRAPH"/>
    <w:basedOn w:val="Normal"/>
    <w:rsid w:val="0073587B"/>
    <w:pPr>
      <w:ind w:firstLine="240"/>
    </w:pPr>
  </w:style>
  <w:style w:type="paragraph" w:styleId="PARAGRAPHnoindent" w:customStyle="1">
    <w:name w:val="PARAGRAPH (no indent)"/>
    <w:basedOn w:val="PARAGRAPH"/>
    <w:next w:val="PARAGRAPH"/>
    <w:rsid w:val="0073587B"/>
    <w:pPr>
      <w:ind w:firstLine="0"/>
    </w:pPr>
  </w:style>
  <w:style w:type="character" w:styleId="ProgramCode" w:customStyle="1">
    <w:name w:val="Program Code"/>
    <w:rsid w:val="0073587B"/>
    <w:rPr>
      <w:rFonts w:ascii="ProgramThree" w:hAnsi="ProgramThree"/>
      <w:color w:val="008080"/>
      <w:sz w:val="18"/>
    </w:rPr>
  </w:style>
  <w:style w:type="character" w:styleId="Tablereferenceto" w:customStyle="1">
    <w:name w:val="Table (reference to)"/>
    <w:rsid w:val="0073587B"/>
    <w:rPr>
      <w:color w:val="00ff00"/>
    </w:rPr>
  </w:style>
  <w:style w:type="character" w:styleId="Refdenotaalpie">
    <w:name w:val="footnote reference"/>
    <w:semiHidden w:val="1"/>
    <w:rsid w:val="0073587B"/>
    <w:rPr>
      <w:position w:val="0"/>
      <w:vertAlign w:val="superscript"/>
    </w:rPr>
  </w:style>
  <w:style w:type="paragraph" w:styleId="Textonotapie">
    <w:name w:val="footnote text"/>
    <w:basedOn w:val="PARAGRAPHnoindent"/>
    <w:semiHidden w:val="1"/>
    <w:rsid w:val="0073587B"/>
    <w:pPr>
      <w:framePr w:lines="0" w:w="5040" w:vSpace="200" w:wrap="notBeside" w:hAnchor="text" w:xAlign="center" w:yAlign="bottom"/>
      <w:spacing w:line="170" w:lineRule="exact"/>
      <w:ind w:firstLine="144"/>
    </w:pPr>
    <w:rPr>
      <w:sz w:val="15"/>
    </w:rPr>
  </w:style>
  <w:style w:type="paragraph" w:styleId="ARTICLETITLE" w:customStyle="1">
    <w:name w:val="ARTICLE TITLE"/>
    <w:basedOn w:val="PARAGRAPHnoindent"/>
    <w:rsid w:val="0073587B"/>
    <w:pPr>
      <w:suppressAutoHyphens w:val="1"/>
      <w:spacing w:after="160" w:line="560" w:lineRule="exact"/>
      <w:jc w:val="center"/>
    </w:pPr>
    <w:rPr>
      <w:rFonts w:ascii="Helvetica" w:hAnsi="Helvetica"/>
      <w:spacing w:val="6"/>
      <w:sz w:val="48"/>
    </w:rPr>
  </w:style>
  <w:style w:type="paragraph" w:styleId="AUTHOR" w:customStyle="1">
    <w:name w:val="AUTHOR"/>
    <w:basedOn w:val="ARTICLETITLE"/>
    <w:next w:val="Normal"/>
    <w:rsid w:val="0073587B"/>
    <w:pPr>
      <w:spacing w:after="480" w:line="280" w:lineRule="exact"/>
    </w:pPr>
    <w:rPr>
      <w:spacing w:val="5"/>
      <w:sz w:val="22"/>
    </w:rPr>
  </w:style>
  <w:style w:type="paragraph" w:styleId="TABLEFOOTNOTE" w:customStyle="1">
    <w:name w:val="TABLE FOOTNOTE"/>
    <w:basedOn w:val="Normal"/>
    <w:rsid w:val="0073587B"/>
    <w:pPr>
      <w:jc w:val="left"/>
    </w:pPr>
    <w:rPr>
      <w:i w:val="1"/>
      <w:sz w:val="16"/>
    </w:rPr>
  </w:style>
  <w:style w:type="paragraph" w:styleId="Encabezado">
    <w:name w:val="header"/>
    <w:basedOn w:val="Normal"/>
    <w:link w:val="EncabezadoCar"/>
    <w:rsid w:val="0073587B"/>
    <w:pPr>
      <w:tabs>
        <w:tab w:val="right" w:pos="10200"/>
      </w:tabs>
      <w:spacing w:line="220" w:lineRule="exact"/>
    </w:pPr>
    <w:rPr>
      <w:rFonts w:ascii="Helvetica" w:hAnsi="Helvetica"/>
      <w:caps w:val="1"/>
      <w:sz w:val="14"/>
    </w:rPr>
  </w:style>
  <w:style w:type="paragraph" w:styleId="ABSTRACT" w:customStyle="1">
    <w:name w:val="ABSTRACT"/>
    <w:basedOn w:val="PARAGRAPH"/>
    <w:rsid w:val="0073587B"/>
    <w:pPr>
      <w:suppressAutoHyphens w:val="1"/>
      <w:spacing w:after="240" w:line="210" w:lineRule="exact"/>
      <w:ind w:left="480" w:right="480" w:firstLine="0"/>
      <w:jc w:val="left"/>
    </w:pPr>
    <w:rPr>
      <w:rFonts w:ascii="Helvetica" w:hAnsi="Helvetica"/>
      <w:sz w:val="16"/>
    </w:rPr>
  </w:style>
  <w:style w:type="paragraph" w:styleId="TABLEROW" w:customStyle="1">
    <w:name w:val="TABLE ROW"/>
    <w:basedOn w:val="Normal"/>
    <w:rsid w:val="0073587B"/>
    <w:pPr>
      <w:spacing w:after="20" w:before="20" w:line="180" w:lineRule="exact"/>
      <w:jc w:val="center"/>
    </w:pPr>
    <w:rPr>
      <w:rFonts w:ascii="Helvetica" w:hAnsi="Helvetica"/>
      <w:sz w:val="16"/>
    </w:rPr>
  </w:style>
  <w:style w:type="paragraph" w:styleId="TABLECOLUMNHEADER" w:customStyle="1">
    <w:name w:val="TABLE COLUMN HEADER"/>
    <w:basedOn w:val="TABLEROW"/>
    <w:next w:val="TABLEROW"/>
    <w:rsid w:val="0073587B"/>
    <w:pPr>
      <w:spacing w:after="40" w:before="40"/>
    </w:pPr>
    <w:rPr>
      <w:sz w:val="18"/>
    </w:rPr>
  </w:style>
  <w:style w:type="paragraph" w:styleId="TABLETITLE" w:customStyle="1">
    <w:name w:val="TABLE TITLE"/>
    <w:basedOn w:val="Normal"/>
    <w:next w:val="TABLECOLUMNHEADER"/>
    <w:rsid w:val="00D96813"/>
    <w:pPr>
      <w:keepNext w:val="1"/>
      <w:framePr w:lines="0" w:w="5040" w:wrap="around" w:hAnchor="page" w:vAnchor="page" w:x="5999" w:y="1203"/>
      <w:spacing w:after="80" w:line="200" w:lineRule="exact"/>
      <w:jc w:val="center"/>
    </w:pPr>
    <w:rPr>
      <w:rFonts w:ascii="Helvetica" w:hAnsi="Helvetica"/>
      <w:smallCaps w:val="1"/>
      <w:color w:val="000000"/>
    </w:rPr>
  </w:style>
  <w:style w:type="paragraph" w:styleId="FIGURECAPTION" w:customStyle="1">
    <w:name w:val="FIGURE CAPTION"/>
    <w:basedOn w:val="PARAGRAPHnoindent"/>
    <w:rsid w:val="0073587B"/>
    <w:pPr>
      <w:spacing w:after="320" w:line="180" w:lineRule="exact"/>
    </w:pPr>
    <w:rPr>
      <w:rFonts w:ascii="Helvetica" w:hAnsi="Helvetica"/>
      <w:sz w:val="16"/>
    </w:rPr>
  </w:style>
  <w:style w:type="paragraph" w:styleId="QUOTATIONBLOCKSTYLE" w:customStyle="1">
    <w:name w:val="QUOTATION BLOCK STYLE"/>
    <w:basedOn w:val="PARAGRAPHnoindent"/>
    <w:rsid w:val="0073587B"/>
    <w:pPr>
      <w:spacing w:after="80" w:before="80"/>
      <w:ind w:left="240" w:right="240"/>
    </w:pPr>
    <w:rPr>
      <w:sz w:val="16"/>
    </w:rPr>
  </w:style>
  <w:style w:type="paragraph" w:styleId="LISTTYPE2aNumber" w:customStyle="1">
    <w:name w:val="LIST TYPE 2a (Number)"/>
    <w:basedOn w:val="LISTTYPE2Number"/>
    <w:next w:val="LISTTYPE2Number"/>
    <w:rsid w:val="0073587B"/>
    <w:pPr>
      <w:spacing w:before="80"/>
    </w:pPr>
  </w:style>
  <w:style w:type="paragraph" w:styleId="LISTTYPE2Number" w:customStyle="1">
    <w:name w:val="LIST TYPE 2 (Number)"/>
    <w:basedOn w:val="LISTTYPE1Bullet"/>
    <w:rsid w:val="0073587B"/>
  </w:style>
  <w:style w:type="paragraph" w:styleId="LISTTYPE1Bullet" w:customStyle="1">
    <w:name w:val="LIST TYPE 1 (Bullet)"/>
    <w:basedOn w:val="PARAGRAPH"/>
    <w:rsid w:val="0073587B"/>
    <w:pPr>
      <w:numPr>
        <w:numId w:val="1"/>
      </w:numPr>
      <w:tabs>
        <w:tab w:val="clear" w:pos="576"/>
      </w:tabs>
      <w:ind w:left="480" w:hanging="240"/>
    </w:pPr>
  </w:style>
  <w:style w:type="paragraph" w:styleId="BIBREFTEXT" w:customStyle="1">
    <w:name w:val="BIB. REF. TEXT"/>
    <w:basedOn w:val="PARAGRAPHnoindent"/>
    <w:rsid w:val="0073587B"/>
    <w:pPr>
      <w:widowControl w:val="1"/>
      <w:tabs>
        <w:tab w:val="left" w:pos="432"/>
      </w:tabs>
      <w:spacing w:line="180" w:lineRule="exact"/>
      <w:ind w:left="360" w:hanging="360"/>
    </w:pPr>
    <w:rPr>
      <w:sz w:val="16"/>
    </w:rPr>
  </w:style>
  <w:style w:type="paragraph" w:styleId="CCCLINE" w:customStyle="1">
    <w:name w:val="CCC LINE"/>
    <w:basedOn w:val="PARAGRAPHnoindent"/>
    <w:rsid w:val="0073587B"/>
    <w:pPr>
      <w:framePr w:lines="0" w:vSpace="240" w:wrap="notBeside" w:hAnchor="margin" w:vAnchor="page" w:xAlign="center" w:y="15121"/>
      <w:spacing w:line="160" w:lineRule="exact"/>
      <w:jc w:val="center"/>
    </w:pPr>
    <w:rPr>
      <w:rFonts w:ascii="Helvetica" w:hAnsi="Helvetica"/>
      <w:spacing w:val="6"/>
      <w:sz w:val="12"/>
    </w:rPr>
  </w:style>
  <w:style w:type="paragraph" w:styleId="PROGRAMSEGMENT" w:customStyle="1">
    <w:name w:val="PROGRAM SEGMENT"/>
    <w:basedOn w:val="PARAGRAPHnoindent"/>
    <w:rsid w:val="0073587B"/>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styleId="LISTTYPE1aBullet" w:customStyle="1">
    <w:name w:val="LIST TYPE 1a (Bullet)"/>
    <w:basedOn w:val="LISTTYPE1Bullet"/>
    <w:next w:val="LISTTYPE1Bullet"/>
    <w:rsid w:val="0073587B"/>
    <w:pPr>
      <w:spacing w:before="80"/>
    </w:pPr>
  </w:style>
  <w:style w:type="paragraph" w:styleId="LISTTYPE2zNumber" w:customStyle="1">
    <w:name w:val="LIST TYPE 2z (Number)"/>
    <w:basedOn w:val="LISTTYPE2Number"/>
    <w:next w:val="PARAGRAPH"/>
    <w:rsid w:val="0073587B"/>
    <w:pPr>
      <w:spacing w:after="80"/>
    </w:pPr>
  </w:style>
  <w:style w:type="paragraph" w:styleId="VITA" w:customStyle="1">
    <w:name w:val="VITA"/>
    <w:basedOn w:val="PARAGRAPHnoindent"/>
    <w:rsid w:val="0073587B"/>
    <w:pPr>
      <w:tabs>
        <w:tab w:val="left" w:pos="216"/>
      </w:tabs>
      <w:spacing w:line="180" w:lineRule="exact"/>
    </w:pPr>
    <w:rPr>
      <w:rFonts w:ascii="Helvetica" w:hAnsi="Helvetica"/>
      <w:sz w:val="16"/>
    </w:rPr>
  </w:style>
  <w:style w:type="paragraph" w:styleId="LISTTYPE1zBullet" w:customStyle="1">
    <w:name w:val="LIST TYPE 1z (Bullet)"/>
    <w:basedOn w:val="LISTTYPE1Bullet"/>
    <w:next w:val="PARAGRAPH"/>
    <w:rsid w:val="0073587B"/>
    <w:pPr>
      <w:spacing w:after="80"/>
    </w:pPr>
  </w:style>
  <w:style w:type="paragraph" w:styleId="FIGUREBODY" w:customStyle="1">
    <w:name w:val="FIGURE BODY"/>
    <w:basedOn w:val="PROGRAMSEGMENT"/>
    <w:rsid w:val="0073587B"/>
    <w:pPr>
      <w:spacing w:line="180" w:lineRule="exact"/>
    </w:pPr>
    <w:rPr>
      <w:rFonts w:ascii="Palatino" w:hAnsi="Palatino"/>
      <w:sz w:val="16"/>
    </w:rPr>
  </w:style>
  <w:style w:type="paragraph" w:styleId="FORMULA" w:customStyle="1">
    <w:name w:val="FORMULA"/>
    <w:basedOn w:val="Normal"/>
    <w:rsid w:val="0073587B"/>
    <w:pPr>
      <w:spacing w:after="80" w:before="80" w:line="240" w:lineRule="atLeast"/>
      <w:jc w:val="center"/>
    </w:pPr>
  </w:style>
  <w:style w:type="character" w:styleId="Url" w:customStyle="1">
    <w:name w:val="Url"/>
    <w:basedOn w:val="Fuentedeprrafopredeter"/>
    <w:rsid w:val="0073587B"/>
    <w:rPr>
      <w:rFonts w:ascii="Helvetica Condensed" w:hAnsi="Helvetica Condensed"/>
      <w:color w:val="008000"/>
      <w:sz w:val="18"/>
    </w:rPr>
  </w:style>
  <w:style w:type="paragraph" w:styleId="Piedepgina">
    <w:name w:val="footer"/>
    <w:basedOn w:val="Normal"/>
    <w:link w:val="PiedepginaCar"/>
    <w:uiPriority w:val="99"/>
    <w:rsid w:val="0073587B"/>
    <w:pPr>
      <w:tabs>
        <w:tab w:val="center" w:pos="4320"/>
        <w:tab w:val="right" w:pos="8640"/>
      </w:tabs>
    </w:pPr>
  </w:style>
  <w:style w:type="paragraph" w:styleId="ACKHEAD" w:customStyle="1">
    <w:name w:val="ACK. HEAD"/>
    <w:basedOn w:val="Ttulo1"/>
    <w:next w:val="ACKNOWLEDGMENTS"/>
    <w:rsid w:val="0073587B"/>
    <w:pPr>
      <w:outlineLvl w:val="9"/>
    </w:pPr>
  </w:style>
  <w:style w:type="paragraph" w:styleId="ACKNOWLEDGMENTS" w:customStyle="1">
    <w:name w:val="ACKNOWLEDGMENTS"/>
    <w:basedOn w:val="PARAGRAPHnoindent"/>
    <w:rsid w:val="0073587B"/>
  </w:style>
  <w:style w:type="character" w:styleId="Nmerodepgina">
    <w:name w:val="page number"/>
    <w:basedOn w:val="Fuentedeprrafopredeter"/>
    <w:rsid w:val="0073587B"/>
  </w:style>
  <w:style w:type="paragraph" w:styleId="ART" w:customStyle="1">
    <w:name w:val="ART"/>
    <w:basedOn w:val="Normal"/>
    <w:next w:val="Normal"/>
    <w:rsid w:val="0073587B"/>
    <w:pPr>
      <w:keepNext w:val="1"/>
      <w:spacing w:after="160" w:before="240" w:line="220" w:lineRule="atLeast"/>
      <w:jc w:val="center"/>
    </w:pPr>
  </w:style>
  <w:style w:type="paragraph" w:styleId="AUTHORAFFILIATION" w:customStyle="1">
    <w:name w:val="AUTHOR AFFILIATION"/>
    <w:basedOn w:val="PARAGRAPHnoindent"/>
    <w:rsid w:val="0073587B"/>
    <w:pPr>
      <w:framePr w:lines="0" w:w="5040" w:vSpace="200" w:wrap="auto" w:hAnchor="text" w:yAlign="bottom"/>
      <w:spacing w:line="180" w:lineRule="exact"/>
    </w:pPr>
    <w:rPr>
      <w:i w:val="1"/>
      <w:sz w:val="16"/>
    </w:rPr>
  </w:style>
  <w:style w:type="paragraph" w:styleId="BIBHEAD" w:customStyle="1">
    <w:name w:val="BIB. HEAD"/>
    <w:basedOn w:val="Ttulo1"/>
    <w:next w:val="BIBREFTEXT"/>
    <w:rsid w:val="0073587B"/>
    <w:pPr>
      <w:outlineLvl w:val="9"/>
    </w:pPr>
  </w:style>
  <w:style w:type="character" w:styleId="BibRef" w:customStyle="1">
    <w:name w:val="Bib. Ref."/>
    <w:rsid w:val="0073587B"/>
    <w:rPr>
      <w:color w:val="800080"/>
    </w:rPr>
  </w:style>
  <w:style w:type="paragraph" w:styleId="CONCLUSION" w:customStyle="1">
    <w:name w:val="CONCLUSION"/>
    <w:basedOn w:val="PARAGRAPHnoindent"/>
    <w:next w:val="PARAGRAPH"/>
    <w:rsid w:val="0073587B"/>
  </w:style>
  <w:style w:type="character" w:styleId="Figurereferenceto" w:customStyle="1">
    <w:name w:val="Figure (reference to)"/>
    <w:rsid w:val="0073587B"/>
    <w:rPr>
      <w:color w:val="ff0000"/>
    </w:rPr>
  </w:style>
  <w:style w:type="paragraph" w:styleId="FOOTNOTE" w:customStyle="1">
    <w:name w:val="FOOTNOTE"/>
    <w:basedOn w:val="Textonotapie"/>
    <w:rsid w:val="0073587B"/>
    <w:pPr>
      <w:framePr w:lines="0" w:wrap="notBeside"/>
    </w:pPr>
  </w:style>
  <w:style w:type="character" w:styleId="Footnotereferenceto" w:customStyle="1">
    <w:name w:val="Footnote (reference to)"/>
    <w:basedOn w:val="Refdenotaalpie"/>
    <w:rsid w:val="0073587B"/>
    <w:rPr>
      <w:color w:val="008000"/>
      <w:position w:val="-2"/>
      <w:sz w:val="25"/>
      <w:vertAlign w:val="superscript"/>
    </w:rPr>
  </w:style>
  <w:style w:type="paragraph" w:styleId="INTRODUCTION" w:customStyle="1">
    <w:name w:val="INTRODUCTION"/>
    <w:basedOn w:val="PARAGRAPHnoindent"/>
    <w:next w:val="PARAGRAPH"/>
    <w:rsid w:val="0073587B"/>
  </w:style>
  <w:style w:type="paragraph" w:styleId="KEYWORD" w:customStyle="1">
    <w:name w:val="KEY WORD"/>
    <w:basedOn w:val="ABSTRACT"/>
    <w:next w:val="Normal"/>
    <w:rsid w:val="0073587B"/>
    <w:pPr>
      <w:spacing w:after="0"/>
    </w:pPr>
  </w:style>
  <w:style w:type="character" w:styleId="MemberType" w:customStyle="1">
    <w:name w:val="MemberType"/>
    <w:basedOn w:val="Fuentedeprrafopredeter"/>
    <w:rsid w:val="0073587B"/>
    <w:rPr>
      <w:rFonts w:ascii="Times New Roman" w:cs="Times New Roman" w:hAnsi="Times New Roman"/>
      <w:i w:val="1"/>
      <w:iCs w:val="1"/>
      <w:sz w:val="22"/>
      <w:szCs w:val="22"/>
    </w:rPr>
  </w:style>
  <w:style w:type="paragraph" w:styleId="FigureCaption0" w:customStyle="1">
    <w:name w:val="Figure Caption"/>
    <w:basedOn w:val="Normal"/>
    <w:rsid w:val="0073587B"/>
    <w:pPr>
      <w:widowControl w:val="1"/>
      <w:autoSpaceDE w:val="0"/>
      <w:autoSpaceDN w:val="0"/>
      <w:spacing w:line="240" w:lineRule="auto"/>
    </w:pPr>
    <w:rPr>
      <w:rFonts w:ascii="Times New Roman" w:hAnsi="Times New Roman"/>
      <w:kern w:val="0"/>
      <w:sz w:val="16"/>
      <w:szCs w:val="16"/>
    </w:rPr>
  </w:style>
  <w:style w:type="paragraph" w:styleId="Text" w:customStyle="1">
    <w:name w:val="Text"/>
    <w:basedOn w:val="Normal"/>
    <w:rsid w:val="0073587B"/>
    <w:pPr>
      <w:autoSpaceDE w:val="0"/>
      <w:autoSpaceDN w:val="0"/>
      <w:spacing w:line="252" w:lineRule="auto"/>
      <w:ind w:firstLine="202"/>
    </w:pPr>
    <w:rPr>
      <w:rFonts w:ascii="Times New Roman" w:hAnsi="Times New Roman"/>
      <w:kern w:val="0"/>
      <w:sz w:val="20"/>
    </w:rPr>
  </w:style>
  <w:style w:type="paragraph" w:styleId="Equation" w:customStyle="1">
    <w:name w:val="Equation"/>
    <w:basedOn w:val="Normal"/>
    <w:next w:val="Normal"/>
    <w:rsid w:val="0073587B"/>
    <w:pPr>
      <w:tabs>
        <w:tab w:val="right" w:pos="5040"/>
      </w:tabs>
      <w:autoSpaceDE w:val="0"/>
      <w:autoSpaceDN w:val="0"/>
      <w:spacing w:line="252" w:lineRule="auto"/>
    </w:pPr>
    <w:rPr>
      <w:rFonts w:ascii="Times New Roman" w:hAnsi="Times New Roman"/>
      <w:kern w:val="0"/>
      <w:sz w:val="20"/>
    </w:rPr>
  </w:style>
  <w:style w:type="paragraph" w:styleId="ReferenceHead" w:customStyle="1">
    <w:name w:val="Reference Head"/>
    <w:basedOn w:val="Ttulo1"/>
    <w:rsid w:val="0073587B"/>
    <w:pPr>
      <w:widowControl w:val="1"/>
      <w:suppressAutoHyphens w:val="0"/>
      <w:autoSpaceDE w:val="0"/>
      <w:autoSpaceDN w:val="0"/>
      <w:spacing w:before="240" w:line="240" w:lineRule="auto"/>
      <w:ind w:left="0" w:firstLine="0"/>
      <w:jc w:val="center"/>
    </w:pPr>
    <w:rPr>
      <w:rFonts w:ascii="Times New Roman" w:hAnsi="Times New Roman"/>
      <w:b w:val="0"/>
      <w:kern w:val="28"/>
      <w:sz w:val="20"/>
    </w:rPr>
  </w:style>
  <w:style w:type="paragraph" w:styleId="References" w:customStyle="1">
    <w:name w:val="References"/>
    <w:basedOn w:val="Normal"/>
    <w:rsid w:val="0073587B"/>
    <w:pPr>
      <w:widowControl w:val="1"/>
      <w:autoSpaceDE w:val="0"/>
      <w:autoSpaceDN w:val="0"/>
      <w:spacing w:line="240" w:lineRule="auto"/>
    </w:pPr>
    <w:rPr>
      <w:rFonts w:ascii="Times New Roman" w:hAnsi="Times New Roman"/>
      <w:kern w:val="0"/>
      <w:sz w:val="16"/>
      <w:szCs w:val="16"/>
    </w:rPr>
  </w:style>
  <w:style w:type="paragraph" w:styleId="TableTitle0" w:customStyle="1">
    <w:name w:val="Table Title"/>
    <w:basedOn w:val="Normal"/>
    <w:rsid w:val="0073587B"/>
    <w:pPr>
      <w:widowControl w:val="1"/>
      <w:autoSpaceDE w:val="0"/>
      <w:autoSpaceDN w:val="0"/>
      <w:spacing w:line="240" w:lineRule="auto"/>
      <w:jc w:val="center"/>
    </w:pPr>
    <w:rPr>
      <w:rFonts w:ascii="Times New Roman" w:hAnsi="Times New Roman"/>
      <w:smallCaps w:val="1"/>
      <w:kern w:val="0"/>
      <w:sz w:val="16"/>
      <w:szCs w:val="16"/>
    </w:rPr>
  </w:style>
  <w:style w:type="character" w:styleId="Hipervnculo">
    <w:name w:val="Hyperlink"/>
    <w:basedOn w:val="Fuentedeprrafopredeter"/>
    <w:uiPriority w:val="99"/>
    <w:rsid w:val="0073587B"/>
    <w:rPr>
      <w:rFonts w:ascii="Arial" w:cs="Arial" w:hAnsi="Arial" w:hint="default"/>
      <w:color w:val="003399"/>
      <w:u w:val="single"/>
    </w:rPr>
  </w:style>
  <w:style w:type="paragraph" w:styleId="NormalWeb">
    <w:name w:val="Normal (Web)"/>
    <w:basedOn w:val="Normal"/>
    <w:rsid w:val="0073587B"/>
    <w:pPr>
      <w:widowControl w:val="1"/>
      <w:spacing w:after="100" w:afterAutospacing="1" w:before="100" w:beforeAutospacing="1" w:line="240" w:lineRule="auto"/>
      <w:jc w:val="left"/>
    </w:pPr>
    <w:rPr>
      <w:rFonts w:ascii="Arial" w:cs="Arial" w:eastAsia="Arial Unicode MS" w:hAnsi="Arial"/>
      <w:kern w:val="0"/>
      <w:sz w:val="24"/>
      <w:szCs w:val="24"/>
    </w:rPr>
  </w:style>
  <w:style w:type="character" w:styleId="Hipervnculovisitado">
    <w:name w:val="FollowedHyperlink"/>
    <w:basedOn w:val="Fuentedeprrafopredeter"/>
    <w:rsid w:val="0073587B"/>
    <w:rPr>
      <w:color w:val="800080"/>
      <w:u w:val="single"/>
    </w:rPr>
  </w:style>
  <w:style w:type="character" w:styleId="Textoennegrita">
    <w:name w:val="Strong"/>
    <w:basedOn w:val="Fuentedeprrafopredeter"/>
    <w:qFormat w:val="1"/>
    <w:rsid w:val="0073587B"/>
    <w:rPr>
      <w:b w:val="1"/>
      <w:bCs w:val="1"/>
    </w:rPr>
  </w:style>
  <w:style w:type="character" w:styleId="Refdecomentario">
    <w:name w:val="annotation reference"/>
    <w:basedOn w:val="Fuentedeprrafopredeter"/>
    <w:rsid w:val="00887762"/>
    <w:rPr>
      <w:sz w:val="16"/>
      <w:szCs w:val="16"/>
    </w:rPr>
  </w:style>
  <w:style w:type="paragraph" w:styleId="Textocomentario">
    <w:name w:val="annotation text"/>
    <w:basedOn w:val="Normal"/>
    <w:link w:val="TextocomentarioCar"/>
    <w:rsid w:val="00887762"/>
    <w:rPr>
      <w:sz w:val="20"/>
    </w:rPr>
  </w:style>
  <w:style w:type="character" w:styleId="TextocomentarioCar" w:customStyle="1">
    <w:name w:val="Texto comentario Car"/>
    <w:basedOn w:val="Fuentedeprrafopredeter"/>
    <w:link w:val="Textocomentario"/>
    <w:rsid w:val="00887762"/>
    <w:rPr>
      <w:rFonts w:ascii="Palatino" w:hAnsi="Palatino"/>
      <w:kern w:val="16"/>
    </w:rPr>
  </w:style>
  <w:style w:type="paragraph" w:styleId="Asuntodelcomentario">
    <w:name w:val="annotation subject"/>
    <w:basedOn w:val="Textocomentario"/>
    <w:next w:val="Textocomentario"/>
    <w:link w:val="AsuntodelcomentarioCar"/>
    <w:rsid w:val="00887762"/>
    <w:rPr>
      <w:b w:val="1"/>
      <w:bCs w:val="1"/>
    </w:rPr>
  </w:style>
  <w:style w:type="character" w:styleId="AsuntodelcomentarioCar" w:customStyle="1">
    <w:name w:val="Asunto del comentario Car"/>
    <w:basedOn w:val="TextocomentarioCar"/>
    <w:link w:val="Asuntodelcomentario"/>
    <w:rsid w:val="00887762"/>
    <w:rPr>
      <w:rFonts w:ascii="Palatino" w:hAnsi="Palatino"/>
      <w:b w:val="1"/>
      <w:bCs w:val="1"/>
      <w:kern w:val="16"/>
    </w:rPr>
  </w:style>
  <w:style w:type="paragraph" w:styleId="Revisin">
    <w:name w:val="Revision"/>
    <w:hidden w:val="1"/>
    <w:uiPriority w:val="99"/>
    <w:semiHidden w:val="1"/>
    <w:rsid w:val="00887762"/>
    <w:rPr>
      <w:rFonts w:ascii="Palatino" w:hAnsi="Palatino"/>
      <w:kern w:val="16"/>
      <w:sz w:val="19"/>
    </w:rPr>
  </w:style>
  <w:style w:type="paragraph" w:styleId="Textodeglobo">
    <w:name w:val="Balloon Text"/>
    <w:basedOn w:val="Normal"/>
    <w:link w:val="TextodegloboCar"/>
    <w:rsid w:val="00887762"/>
    <w:pPr>
      <w:spacing w:line="240" w:lineRule="auto"/>
    </w:pPr>
    <w:rPr>
      <w:rFonts w:ascii="Tahoma" w:cs="Tahoma" w:hAnsi="Tahoma"/>
      <w:sz w:val="16"/>
      <w:szCs w:val="16"/>
    </w:rPr>
  </w:style>
  <w:style w:type="character" w:styleId="TextodegloboCar" w:customStyle="1">
    <w:name w:val="Texto de globo Car"/>
    <w:basedOn w:val="Fuentedeprrafopredeter"/>
    <w:link w:val="Textodeglobo"/>
    <w:rsid w:val="00887762"/>
    <w:rPr>
      <w:rFonts w:ascii="Tahoma" w:cs="Tahoma" w:hAnsi="Tahoma"/>
      <w:kern w:val="16"/>
      <w:sz w:val="16"/>
      <w:szCs w:val="16"/>
    </w:rPr>
  </w:style>
  <w:style w:type="table" w:styleId="Tablaconcuadrculaclara">
    <w:name w:val="Grid Table Light"/>
    <w:basedOn w:val="Tablanormal"/>
    <w:uiPriority w:val="40"/>
    <w:rsid w:val="00C87B8B"/>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tablecaption" w:customStyle="1">
    <w:name w:val="tablecaption"/>
    <w:basedOn w:val="Normal"/>
    <w:next w:val="Normal"/>
    <w:rsid w:val="00C87B8B"/>
    <w:pPr>
      <w:keepNext w:val="1"/>
      <w:keepLines w:val="1"/>
      <w:widowControl w:val="1"/>
      <w:overflowPunct w:val="0"/>
      <w:autoSpaceDE w:val="0"/>
      <w:autoSpaceDN w:val="0"/>
      <w:adjustRightInd w:val="0"/>
      <w:spacing w:after="120" w:before="240" w:line="220" w:lineRule="atLeast"/>
      <w:jc w:val="center"/>
      <w:textAlignment w:val="baseline"/>
    </w:pPr>
    <w:rPr>
      <w:rFonts w:ascii="Times New Roman" w:hAnsi="Times New Roman"/>
      <w:kern w:val="0"/>
      <w:sz w:val="18"/>
      <w:lang w:val="es-PE"/>
    </w:rPr>
  </w:style>
  <w:style w:type="paragraph" w:styleId="figurecaption1" w:customStyle="1">
    <w:name w:val="figurecaption"/>
    <w:basedOn w:val="Normal"/>
    <w:next w:val="Normal"/>
    <w:rsid w:val="00CE63D4"/>
    <w:pPr>
      <w:keepNext w:val="1"/>
      <w:keepLines w:val="1"/>
      <w:widowControl w:val="1"/>
      <w:overflowPunct w:val="0"/>
      <w:autoSpaceDE w:val="0"/>
      <w:autoSpaceDN w:val="0"/>
      <w:adjustRightInd w:val="0"/>
      <w:spacing w:after="240" w:before="120" w:line="220" w:lineRule="atLeast"/>
      <w:jc w:val="center"/>
      <w:textAlignment w:val="baseline"/>
    </w:pPr>
    <w:rPr>
      <w:rFonts w:ascii="Times New Roman" w:hAnsi="Times New Roman"/>
      <w:kern w:val="0"/>
      <w:sz w:val="18"/>
      <w:lang w:val="es-PE"/>
    </w:rPr>
  </w:style>
  <w:style w:type="paragraph" w:styleId="p1a" w:customStyle="1">
    <w:name w:val="p1a"/>
    <w:basedOn w:val="Normal"/>
    <w:next w:val="Normal"/>
    <w:rsid w:val="005705E7"/>
    <w:pPr>
      <w:widowControl w:val="1"/>
      <w:overflowPunct w:val="0"/>
      <w:autoSpaceDE w:val="0"/>
      <w:autoSpaceDN w:val="0"/>
      <w:adjustRightInd w:val="0"/>
      <w:spacing w:line="240" w:lineRule="atLeast"/>
      <w:textAlignment w:val="baseline"/>
    </w:pPr>
    <w:rPr>
      <w:rFonts w:ascii="Times New Roman" w:hAnsi="Times New Roman"/>
      <w:kern w:val="0"/>
      <w:sz w:val="20"/>
      <w:lang w:val="es-PE"/>
    </w:rPr>
  </w:style>
  <w:style w:type="paragraph" w:styleId="referenceitem" w:customStyle="1">
    <w:name w:val="referenceitem"/>
    <w:basedOn w:val="Normal"/>
    <w:rsid w:val="005705E7"/>
    <w:pPr>
      <w:widowControl w:val="1"/>
      <w:numPr>
        <w:numId w:val="6"/>
      </w:numPr>
      <w:overflowPunct w:val="0"/>
      <w:autoSpaceDE w:val="0"/>
      <w:autoSpaceDN w:val="0"/>
      <w:adjustRightInd w:val="0"/>
      <w:spacing w:line="220" w:lineRule="atLeast"/>
      <w:textAlignment w:val="baseline"/>
    </w:pPr>
    <w:rPr>
      <w:rFonts w:ascii="Times New Roman" w:hAnsi="Times New Roman"/>
      <w:kern w:val="0"/>
      <w:sz w:val="18"/>
      <w:lang w:val="es-PE"/>
    </w:rPr>
  </w:style>
  <w:style w:type="numbering" w:styleId="referencelist" w:customStyle="1">
    <w:name w:val="referencelist"/>
    <w:basedOn w:val="Sinlista"/>
    <w:semiHidden w:val="1"/>
    <w:rsid w:val="005705E7"/>
    <w:pPr>
      <w:numPr>
        <w:numId w:val="6"/>
      </w:numPr>
    </w:pPr>
  </w:style>
  <w:style w:type="paragraph" w:styleId="Prrafodelista">
    <w:name w:val="List Paragraph"/>
    <w:basedOn w:val="Normal"/>
    <w:link w:val="PrrafodelistaCar"/>
    <w:uiPriority w:val="34"/>
    <w:qFormat w:val="1"/>
    <w:rsid w:val="005705E7"/>
    <w:pPr>
      <w:widowControl w:val="1"/>
      <w:spacing w:line="240" w:lineRule="auto"/>
      <w:ind w:left="720"/>
      <w:contextualSpacing w:val="1"/>
      <w:jc w:val="left"/>
    </w:pPr>
    <w:rPr>
      <w:rFonts w:ascii="Times New Roman" w:hAnsi="Times New Roman"/>
      <w:kern w:val="0"/>
      <w:sz w:val="20"/>
      <w:lang w:val="es-PE"/>
    </w:rPr>
  </w:style>
  <w:style w:type="character" w:styleId="PrrafodelistaCar" w:customStyle="1">
    <w:name w:val="Párrafo de lista Car"/>
    <w:basedOn w:val="Fuentedeprrafopredeter"/>
    <w:link w:val="Prrafodelista"/>
    <w:uiPriority w:val="34"/>
    <w:locked w:val="1"/>
    <w:rsid w:val="005705E7"/>
    <w:rPr>
      <w:lang w:val="es-PE"/>
    </w:rPr>
  </w:style>
  <w:style w:type="table" w:styleId="Tablaconcuadrcula">
    <w:name w:val="Table Grid"/>
    <w:basedOn w:val="Tablanormal"/>
    <w:uiPriority w:val="39"/>
    <w:rsid w:val="005705E7"/>
    <w:rPr>
      <w:rFonts w:asciiTheme="minorHAnsi" w:cstheme="minorBidi" w:eastAsiaTheme="minorHAnsi" w:hAnsiTheme="minorHAnsi"/>
      <w:sz w:val="22"/>
      <w:szCs w:val="22"/>
      <w:lang w:val="es-P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ibliografa">
    <w:name w:val="Bibliography"/>
    <w:basedOn w:val="Normal"/>
    <w:next w:val="Normal"/>
    <w:semiHidden w:val="1"/>
    <w:rsid w:val="00AD1D5D"/>
    <w:pPr>
      <w:widowControl w:val="1"/>
      <w:overflowPunct w:val="0"/>
      <w:autoSpaceDE w:val="0"/>
      <w:autoSpaceDN w:val="0"/>
      <w:adjustRightInd w:val="0"/>
      <w:spacing w:line="240" w:lineRule="atLeast"/>
      <w:ind w:firstLine="227"/>
      <w:textAlignment w:val="baseline"/>
    </w:pPr>
    <w:rPr>
      <w:rFonts w:ascii="Times New Roman" w:hAnsi="Times New Roman"/>
      <w:kern w:val="0"/>
      <w:sz w:val="20"/>
      <w:lang w:val="es-PE"/>
    </w:rPr>
  </w:style>
  <w:style w:type="character" w:styleId="PiedepginaCar" w:customStyle="1">
    <w:name w:val="Pie de página Car"/>
    <w:basedOn w:val="Fuentedeprrafopredeter"/>
    <w:link w:val="Piedepgina"/>
    <w:uiPriority w:val="99"/>
    <w:rsid w:val="00213865"/>
    <w:rPr>
      <w:rFonts w:ascii="Palatino" w:hAnsi="Palatino"/>
      <w:kern w:val="16"/>
      <w:sz w:val="19"/>
    </w:rPr>
  </w:style>
  <w:style w:type="character" w:styleId="fontstyle01" w:customStyle="1">
    <w:name w:val="fontstyle01"/>
    <w:basedOn w:val="Fuentedeprrafopredeter"/>
    <w:rsid w:val="00213865"/>
    <w:rPr>
      <w:rFonts w:ascii="DejaVuSerif" w:hAnsi="DejaVuSerif" w:hint="default"/>
      <w:b w:val="0"/>
      <w:bCs w:val="0"/>
      <w:i w:val="0"/>
      <w:iCs w:val="0"/>
      <w:color w:val="000000"/>
      <w:sz w:val="20"/>
      <w:szCs w:val="20"/>
    </w:rPr>
  </w:style>
  <w:style w:type="character" w:styleId="EncabezadoCar" w:customStyle="1">
    <w:name w:val="Encabezado Car"/>
    <w:basedOn w:val="Fuentedeprrafopredeter"/>
    <w:link w:val="Encabezado"/>
    <w:rsid w:val="00AF672B"/>
    <w:rPr>
      <w:rFonts w:ascii="Helvetica" w:hAnsi="Helvetica"/>
      <w:caps w:val="1"/>
      <w:kern w:val="16"/>
      <w:sz w:val="14"/>
    </w:rPr>
  </w:style>
  <w:style w:type="character" w:styleId="notranslate" w:customStyle="1">
    <w:name w:val="notranslate"/>
    <w:basedOn w:val="Fuentedeprrafopredeter"/>
    <w:rsid w:val="00A9085F"/>
  </w:style>
  <w:style w:type="character" w:styleId="Mencinsinresolver">
    <w:name w:val="Unresolved Mention"/>
    <w:basedOn w:val="Fuentedeprrafopredeter"/>
    <w:uiPriority w:val="99"/>
    <w:semiHidden w:val="1"/>
    <w:unhideWhenUsed w:val="1"/>
    <w:rsid w:val="00C67758"/>
    <w:rPr>
      <w:color w:val="605e5c"/>
      <w:shd w:color="auto" w:fill="e1dfdd" w:val="clear"/>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7166/riqchary/v8.n1.2026" TargetMode="External"/><Relationship Id="rId10" Type="http://schemas.openxmlformats.org/officeDocument/2006/relationships/hyperlink" Target="https://portal.issn.org/resource/ISSN-L/2706-543X" TargetMode="External"/><Relationship Id="rId13" Type="http://schemas.openxmlformats.org/officeDocument/2006/relationships/header" Target="header1.xml"/><Relationship Id="rId12" Type="http://schemas.openxmlformats.org/officeDocument/2006/relationships/hyperlink" Target="https://doi.org/10.57166/riqchary/v8.n1.202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rtal.issn.org/resource/ISSN/2810-8124" TargetMode="External"/><Relationship Id="rId15" Type="http://schemas.openxmlformats.org/officeDocument/2006/relationships/footer" Target="footer1.xml"/><Relationship Id="rId14" Type="http://schemas.openxmlformats.org/officeDocument/2006/relationships/header" Target="header2.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ncbi.nlm.nih.gov/pmc/articles/PMC11950195/" TargetMode="External"/><Relationship Id="rId7" Type="http://schemas.openxmlformats.org/officeDocument/2006/relationships/image" Target="media/image10.png"/><Relationship Id="rId8" Type="http://schemas.openxmlformats.org/officeDocument/2006/relationships/image" Target="media/image1.png"/><Relationship Id="rId19" Type="http://schemas.openxmlformats.org/officeDocument/2006/relationships/header" Target="header3.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BookAntiqua-boldItalic.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9" Type="http://schemas.openxmlformats.org/officeDocument/2006/relationships/font" Target="fonts/BookAntiqua-italic.ttf"/><Relationship Id="rId14" Type="http://schemas.openxmlformats.org/officeDocument/2006/relationships/font" Target="fonts/HelveticaNeue-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BookAntiqua-regular.ttf"/><Relationship Id="rId8" Type="http://schemas.openxmlformats.org/officeDocument/2006/relationships/font" Target="fonts/BookAntiqua-bold.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fM4DqCULrgdan7PtO315XC0Qg==">CgMxLjAaHwoBMBIaChgICVIUChJ0YWJsZS4ybXY5bjk3czVzYTUaHwoBMRIaChgICVIUChJ0YWJsZS51NDA3azljd3hnMzUyDmguM2U3dHRrN3dqbWpoMg5oLnM2cmE0bTc5eHBscTIOaC5ubWgyd3Jqazd0dGIyDmguaXJ0MWlqd2pkZmdhMg5oLjFvMzZlbnQ4YnpsajIOaC55ZWJnN3V6OWI0ZTgyDmgubWpnZzhxaTg4bzZ2OAByITFYbnZ1cmkydkdfZHdIUTNVRDd1X3J2by1FU0xrVlhf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2024-08-01T05:44:00Z</dcterms:created>
  <dc:creator>Erin Espriu</dc:creator>
  <dc:title>AP 9 Evaluación reproducible de la huella de carbono de gemelos digitales agrícolas</dc:title>
</cp:coreProperties>
</file>