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sz w:val="22"/>
          <w:szCs w:val="22"/>
        </w:rPr>
        <w:t xml:space="preserve"/>
      </w:r>
    </w:p>
    <w:p>
      <w:pPr>
        <w:spacing w:after="160" w:before="0"/>
        <w:jc w:val="center"/>
      </w:pPr>
      <w:r>
        <w:rPr>
          <w:rFonts w:ascii="Arial" w:cs="Arial" w:eastAsia="Arial" w:hAnsi="Arial"/>
          <w:b/>
          <w:bCs/>
          <w:color w:val="1F3864"/>
          <w:sz w:val="52"/>
          <w:szCs w:val="52"/>
        </w:rPr>
        <w:t xml:space="preserve">REVOLUTIONIZING PRICING PRACTICES</w:t>
      </w:r>
    </w:p>
    <w:p>
      <w:pPr>
        <w:pBdr>
          <w:bottom w:val="single" w:color="1A7A5E" w:sz="10" w:space="4"/>
        </w:pBdr>
        <w:spacing w:after="80" w:before="0"/>
        <w:jc w:val="center"/>
      </w:pPr>
      <w:r>
        <w:rPr>
          <w:rFonts w:ascii="Arial" w:cs="Arial" w:eastAsia="Arial" w:hAnsi="Arial"/>
          <w:color w:val="1A7A5E"/>
          <w:sz w:val="30"/>
          <w:szCs w:val="30"/>
        </w:rPr>
        <w:t xml:space="preserve">in a Small Christian Business</w:t>
      </w:r>
    </w:p>
    <w:p>
      <w:pPr>
        <w:spacing w:after="160" w:before="0"/>
      </w:pPr>
      <w:r>
        <w:rPr>
          <w:sz w:val="22"/>
          <w:szCs w:val="22"/>
        </w:rPr>
        <w:t xml:space="preserve"/>
      </w:r>
    </w:p>
    <w:p>
      <w:pPr>
        <w:spacing w:after="120" w:before="0"/>
        <w:jc w:val="center"/>
      </w:pPr>
      <w:r>
        <w:rPr>
          <w:rFonts w:ascii="Arial" w:cs="Arial" w:eastAsia="Arial" w:hAnsi="Arial"/>
          <w:b/>
          <w:bCs/>
          <w:color w:val="2E75B6"/>
          <w:sz w:val="26"/>
          <w:szCs w:val="26"/>
        </w:rPr>
        <w:t xml:space="preserve">Project Procedure &amp; Requirements Report</w:t>
      </w:r>
    </w:p>
    <w:p>
      <w:pPr>
        <w:spacing w:after="120" w:before="0"/>
        <w:jc w:val="center"/>
      </w:pPr>
      <w:r>
        <w:rPr>
          <w:rFonts w:ascii="Arial" w:cs="Arial" w:eastAsia="Arial" w:hAnsi="Arial"/>
          <w:color w:val="555555"/>
          <w:sz w:val="22"/>
          <w:szCs w:val="22"/>
        </w:rPr>
        <w:t xml:space="preserve">BUS302 Advances in Data  |  Sattler College  |  Capstone Project</w:t>
      </w:r>
    </w:p>
    <w:p>
      <w:pPr>
        <w:spacing w:after="160" w:before="0"/>
      </w:pPr>
      <w:r>
        <w:rPr>
          <w:sz w:val="22"/>
          <w:szCs w:val="22"/>
        </w:rPr>
        <w:t xml:space="preserve"/>
      </w:r>
    </w:p>
    <w:p>
      <w:pPr>
        <w:spacing w:after="80" w:before="0"/>
        <w:jc w:val="center"/>
      </w:pPr>
      <w:r>
        <w:rPr>
          <w:rFonts w:ascii="Arial" w:cs="Arial" w:eastAsia="Arial" w:hAnsi="Arial"/>
          <w:b/>
          <w:bCs/>
          <w:color w:val="1F3864"/>
          <w:sz w:val="24"/>
          <w:szCs w:val="24"/>
        </w:rPr>
        <w:t xml:space="preserve">CS Partner: Lesther Ouma</w:t>
      </w:r>
    </w:p>
    <w:p>
      <w:pPr>
        <w:spacing w:after="80" w:before="0"/>
        <w:jc w:val="center"/>
      </w:pPr>
      <w:r>
        <w:rPr>
          <w:rFonts w:ascii="Arial" w:cs="Arial" w:eastAsia="Arial" w:hAnsi="Arial"/>
          <w:color w:val="1F3864"/>
          <w:sz w:val="24"/>
          <w:szCs w:val="24"/>
        </w:rPr>
        <w:t xml:space="preserve">Business Partner: Angelyn Kornelsen</w:t>
      </w:r>
    </w:p>
    <w:p>
      <w:pPr>
        <w:spacing w:after="80" w:before="0"/>
        <w:jc w:val="center"/>
      </w:pPr>
      <w:r>
        <w:rPr>
          <w:rFonts w:ascii="Arial" w:cs="Arial" w:eastAsia="Arial" w:hAnsi="Arial"/>
          <w:color w:val="555555"/>
          <w:sz w:val="22"/>
          <w:szCs w:val="22"/>
        </w:rPr>
        <w:t xml:space="preserve">Client: Royden Kornelsen, Kornelsen Solutions Inc.</w:t>
      </w:r>
    </w:p>
    <w:p>
      <w:pPr>
        <w:spacing w:after="80" w:before="0"/>
        <w:jc w:val="center"/>
      </w:pPr>
      <w:r>
        <w:rPr>
          <w:rFonts w:ascii="Arial" w:cs="Arial" w:eastAsia="Arial" w:hAnsi="Arial"/>
          <w:color w:val="555555"/>
          <w:sz w:val="22"/>
          <w:szCs w:val="22"/>
        </w:rPr>
        <w:t xml:space="preserve">April 9,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A7A5E" w:sz="10" w:space="4"/>
        </w:pBdr>
        <w:spacing w:after="160" w:before="400"/>
      </w:pPr>
      <w:r>
        <w:rPr>
          <w:rFonts w:ascii="Arial" w:cs="Arial" w:eastAsia="Arial" w:hAnsi="Arial"/>
          <w:b/>
          <w:bCs/>
          <w:color w:val="1F3864"/>
          <w:sz w:val="34"/>
          <w:szCs w:val="34"/>
        </w:rPr>
        <w:t xml:space="preserve">Project Overview</w:t>
      </w:r>
    </w:p>
    <w:p>
      <w:pPr>
        <w:pBdr>
          <w:left w:val="single" w:color="1A7A5E" w:sz="14" w:space="8"/>
        </w:pBdr>
        <w:spacing w:after="80" w:before="80"/>
        <w:ind w:left="360"/>
      </w:pPr>
      <w:r>
        <w:rPr>
          <w:rFonts w:ascii="Arial" w:cs="Arial" w:eastAsia="Arial" w:hAnsi="Arial"/>
          <w:color w:val="1F3864"/>
          <w:sz w:val="21"/>
          <w:szCs w:val="21"/>
        </w:rPr>
        <w:t xml:space="preserve">"Kornelsen Solutions Inc. needs a standardized job pricing system because pricing is currently done from memory and intuition with no documented formula." — Problem Statement, Week 10</w:t>
      </w:r>
    </w:p>
    <w:p>
      <w:pPr>
        <w:spacing w:after="160" w:before="0"/>
      </w:pPr>
      <w:r>
        <w:rPr>
          <w:sz w:val="22"/>
          <w:szCs w:val="22"/>
        </w:rPr>
        <w:t xml:space="preserve"/>
      </w:r>
    </w:p>
    <w:p>
      <w:pPr>
        <w:spacing w:after="60" w:before="60"/>
      </w:pPr>
      <w:r>
        <w:rPr>
          <w:rFonts w:ascii="Arial" w:cs="Arial" w:eastAsia="Arial" w:hAnsi="Arial"/>
          <w:b w:val="false"/>
          <w:bCs w:val="false"/>
          <w:color w:val="111111"/>
          <w:sz w:val="22"/>
          <w:szCs w:val="22"/>
        </w:rPr>
        <w:t xml:space="preserve">This report serves as the formal technical procedure and requirements document for the Kornelsen Solutions Inc. pricing model capstone. The goal is to transform approximately 500 historical QuickBooks invoices into a reproducible, data-driven pricing formula that Royden Kornelsen (the business owner) can use to generate consistent, fair, and profitable quotes — without mental overhead on every job.</w:t>
      </w:r>
    </w:p>
    <w:p>
      <w:pPr>
        <w:spacing w:after="60" w:before="60"/>
      </w:pPr>
      <w:r>
        <w:rPr>
          <w:rFonts w:ascii="Arial" w:cs="Arial" w:eastAsia="Arial" w:hAnsi="Arial"/>
          <w:b w:val="false"/>
          <w:bCs w:val="false"/>
          <w:color w:val="111111"/>
          <w:sz w:val="22"/>
          <w:szCs w:val="22"/>
        </w:rPr>
        <w:t xml:space="preserve">The procedure below covers the full data science lifecycle, adapted specifically to the constraints and realities of this project: a small proprietary dataset, a non-technical end user, an interpretability-first design philosophy, and a domain rooted in door installation services.</w:t>
      </w:r>
    </w:p>
    <w:p>
      <w:pPr>
        <w:spacing w:after="160" w:before="0"/>
      </w:pPr>
      <w:r>
        <w:rPr>
          <w:sz w:val="22"/>
          <w:szCs w:val="22"/>
        </w:rPr>
        <w:t xml:space="preserve"/>
      </w:r>
    </w:p>
    <w:p>
      <w:pPr>
        <w:pStyle w:val="Heading2"/>
        <w:spacing w:after="100" w:before="280"/>
      </w:pPr>
      <w:r>
        <w:rPr>
          <w:rFonts w:ascii="Arial" w:cs="Arial" w:eastAsia="Arial" w:hAnsi="Arial"/>
          <w:b/>
          <w:bCs/>
          <w:color w:val="1A7A5E"/>
          <w:sz w:val="26"/>
          <w:szCs w:val="26"/>
        </w:rPr>
        <w:t xml:space="preserve">SMART Success Targets (From Problem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960"/>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52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Criterion</w:t>
            </w:r>
          </w:p>
        </w:tc>
        <w:tc>
          <w:tcPr>
            <w:tcW w:type="dxa" w:w="296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Measurement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5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Generate quotes matching the owner's decisions with at least 90% accuracy</w:t>
            </w:r>
          </w:p>
        </w:tc>
        <w:tc>
          <w:tcPr>
            <w:tcW w:type="dxa" w:w="2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Compare 100 sampled quotes vs. owner baseline</w:t>
            </w:r>
          </w:p>
        </w:tc>
      </w:tr>
      <w:tr>
        <w:tc>
          <w:tcPr>
            <w:tcW w:type="dxa" w:w="12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2</w:t>
            </w:r>
          </w:p>
        </w:tc>
        <w:tc>
          <w:tcPr>
            <w:tcW w:type="dxa" w:w="52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30% reduction in pricing variability across similar jobs</w:t>
            </w:r>
          </w:p>
        </w:tc>
        <w:tc>
          <w:tcPr>
            <w:tcW w:type="dxa" w:w="296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Standard deviation of quotes for comparable inputs: before vs. after</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5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90% of new users complete a full pricing task without assistance</w:t>
            </w:r>
          </w:p>
        </w:tc>
        <w:tc>
          <w:tcPr>
            <w:tcW w:type="dxa" w:w="2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Usability testing sessions on adoption</w:t>
            </w:r>
          </w:p>
        </w:tc>
      </w:tr>
    </w:tbl>
    <w:p>
      <w:pPr>
        <w:spacing w:after="160" w:before="0"/>
      </w:pPr>
      <w:r>
        <w:rPr>
          <w:sz w:val="22"/>
          <w:szCs w:val="22"/>
        </w:rPr>
        <w:t xml:space="preserve"/>
      </w:r>
    </w:p>
    <w:p>
      <w:r>
        <w:br w:type="page"/>
      </w:r>
    </w:p>
    <w:p>
      <w:pPr>
        <w:pStyle w:val="Heading1"/>
        <w:pBdr>
          <w:bottom w:val="single" w:color="1A7A5E" w:sz="10" w:space="4"/>
        </w:pBdr>
        <w:spacing w:after="160" w:before="400"/>
      </w:pPr>
      <w:r>
        <w:rPr>
          <w:rFonts w:ascii="Arial" w:cs="Arial" w:eastAsia="Arial" w:hAnsi="Arial"/>
          <w:b/>
          <w:bCs/>
          <w:color w:val="1F3864"/>
          <w:sz w:val="34"/>
          <w:szCs w:val="34"/>
        </w:rPr>
        <w:t xml:space="preserve">Section 1: Step-by-Step Project Procedure</w:t>
      </w:r>
    </w:p>
    <w:p>
      <w:pPr>
        <w:pStyle w:val="Heading2"/>
        <w:spacing w:after="100" w:before="280"/>
      </w:pPr>
      <w:r>
        <w:rPr>
          <w:rFonts w:ascii="Arial" w:cs="Arial" w:eastAsia="Arial" w:hAnsi="Arial"/>
          <w:b/>
          <w:bCs/>
          <w:color w:val="1A7A5E"/>
          <w:sz w:val="26"/>
          <w:szCs w:val="26"/>
        </w:rPr>
        <w:t xml:space="preserve">Phase 1: Data Pipeline</w:t>
      </w:r>
    </w:p>
    <w:p>
      <w:pPr>
        <w:spacing w:after="60" w:before="60"/>
      </w:pPr>
      <w:r>
        <w:rPr>
          <w:rFonts w:ascii="Arial" w:cs="Arial" w:eastAsia="Arial" w:hAnsi="Arial"/>
          <w:b w:val="false"/>
          <w:bCs w:val="false"/>
          <w:color w:val="111111"/>
          <w:sz w:val="22"/>
          <w:szCs w:val="22"/>
        </w:rPr>
        <w:t xml:space="preserve">This phase covers the full journey from raw QuickBooks export to a clean, model-ready feature matrix. Given the known risks (inconsistent entries and potentially stale historical records), extra care is warranted at every step.</w:t>
      </w:r>
    </w:p>
    <w:p>
      <w:pPr>
        <w:pStyle w:val="Heading3"/>
        <w:spacing w:after="80" w:before="200"/>
      </w:pPr>
      <w:r>
        <w:rPr>
          <w:rFonts w:ascii="Arial" w:cs="Arial" w:eastAsia="Arial" w:hAnsi="Arial"/>
          <w:b/>
          <w:bCs/>
          <w:color w:val="1F3864"/>
          <w:sz w:val="22"/>
          <w:szCs w:val="22"/>
        </w:rPr>
        <w:t xml:space="preserve">Step 1.1 — Data Acquisition</w:t>
      </w:r>
    </w:p>
    <w:p>
      <w:pPr>
        <w:spacing w:after="60" w:before="60"/>
      </w:pPr>
      <w:r>
        <w:rPr>
          <w:rFonts w:ascii="Arial" w:cs="Arial" w:eastAsia="Arial" w:hAnsi="Arial"/>
          <w:b w:val="false"/>
          <w:bCs w:val="false"/>
          <w:color w:val="111111"/>
          <w:sz w:val="22"/>
          <w:szCs w:val="22"/>
        </w:rPr>
        <w:t xml:space="preserve">Your data is already secured from Kornelsen Solutions Inc.'s QuickBooks Online account. Execute the following acquisition protocol:</w:t>
      </w:r>
    </w:p>
    <w:p>
      <w:pPr>
        <w:pStyle w:val="ListParagraph"/>
        <w:numPr>
          <w:ilvl w:val="0"/>
          <w:numId w:val="2"/>
        </w:numPr>
        <w:spacing w:after="60" w:before="60"/>
      </w:pPr>
      <w:r>
        <w:rPr>
          <w:rFonts w:ascii="Arial" w:cs="Arial" w:eastAsia="Arial" w:hAnsi="Arial"/>
          <w:sz w:val="22"/>
          <w:szCs w:val="22"/>
        </w:rPr>
        <w:t xml:space="preserve">Log into QuickBooks Online and export all invoices as a CSV or Excel file (Reports &gt; All Sales &gt; Invoices). Target all available history, noting approximate date range.</w:t>
      </w:r>
    </w:p>
    <w:p>
      <w:pPr>
        <w:pStyle w:val="ListParagraph"/>
        <w:numPr>
          <w:ilvl w:val="0"/>
          <w:numId w:val="2"/>
        </w:numPr>
        <w:spacing w:after="60" w:before="60"/>
      </w:pPr>
      <w:r>
        <w:rPr>
          <w:rFonts w:ascii="Arial" w:cs="Arial" w:eastAsia="Arial" w:hAnsi="Arial"/>
          <w:sz w:val="22"/>
          <w:szCs w:val="22"/>
        </w:rPr>
        <w:t xml:space="preserve">Export a second report for Products &amp; Services (to confirm item-level breakdowns: door type, materials, labor line items).</w:t>
      </w:r>
    </w:p>
    <w:p>
      <w:pPr>
        <w:pStyle w:val="ListParagraph"/>
        <w:numPr>
          <w:ilvl w:val="0"/>
          <w:numId w:val="2"/>
        </w:numPr>
        <w:spacing w:after="60" w:before="60"/>
      </w:pPr>
      <w:r>
        <w:rPr>
          <w:rFonts w:ascii="Arial" w:cs="Arial" w:eastAsia="Arial" w:hAnsi="Arial"/>
          <w:sz w:val="22"/>
          <w:szCs w:val="22"/>
        </w:rPr>
        <w:t xml:space="preserve">Strip all Personally Identifying Information (PII) immediately after export: remove customer names, addresses, and phone numbers. Replace with anonymized IDs (e.g., CUST_001). Store only customer tier classification (new, recurring, loyalty) and travel distance band.</w:t>
      </w:r>
    </w:p>
    <w:p>
      <w:pPr>
        <w:pStyle w:val="ListParagraph"/>
        <w:numPr>
          <w:ilvl w:val="0"/>
          <w:numId w:val="2"/>
        </w:numPr>
        <w:spacing w:after="60" w:before="60"/>
      </w:pPr>
      <w:r>
        <w:rPr>
          <w:rFonts w:ascii="Arial" w:cs="Arial" w:eastAsia="Arial" w:hAnsi="Arial"/>
          <w:sz w:val="22"/>
          <w:szCs w:val="22"/>
        </w:rPr>
        <w:t xml:space="preserve">Save the raw exports to /data/raw/ with a date-stamped filename (e.g., kornelsen_invoices_raw_20260409.csv). Never modify the raw file.</w:t>
      </w:r>
    </w:p>
    <w:p>
      <w:pPr>
        <w:pStyle w:val="ListParagraph"/>
        <w:numPr>
          <w:ilvl w:val="0"/>
          <w:numId w:val="2"/>
        </w:numPr>
        <w:spacing w:after="60" w:before="60"/>
      </w:pPr>
      <w:r>
        <w:rPr>
          <w:rFonts w:ascii="Arial" w:cs="Arial" w:eastAsia="Arial" w:hAnsi="Arial"/>
          <w:sz w:val="22"/>
          <w:szCs w:val="22"/>
        </w:rPr>
        <w:t xml:space="preserve">Document the export date, QuickBooks account owner, and field definitions in a data_dictionary.md file.</w:t>
      </w:r>
    </w:p>
    <w:p>
      <w:pPr>
        <w:pStyle w:val="Heading3"/>
        <w:spacing w:after="80" w:before="200"/>
      </w:pPr>
      <w:r>
        <w:rPr>
          <w:rFonts w:ascii="Arial" w:cs="Arial" w:eastAsia="Arial" w:hAnsi="Arial"/>
          <w:b/>
          <w:bCs/>
          <w:color w:val="1F3864"/>
          <w:sz w:val="22"/>
          <w:szCs w:val="22"/>
        </w:rPr>
        <w:t xml:space="preserve">Step 1.2 — Data Cleaning</w:t>
      </w:r>
    </w:p>
    <w:p>
      <w:pPr>
        <w:spacing w:after="60" w:before="60"/>
      </w:pPr>
      <w:r>
        <w:rPr>
          <w:rFonts w:ascii="Arial" w:cs="Arial" w:eastAsia="Arial" w:hAnsi="Arial"/>
          <w:b w:val="false"/>
          <w:bCs w:val="false"/>
          <w:color w:val="111111"/>
          <w:sz w:val="22"/>
          <w:szCs w:val="22"/>
        </w:rPr>
        <w:t xml:space="preserve">Given the known risks of inconsistent data entry and outdated records, apply the following cleaning workflow in a dedicated notebook (01_Data_Cleaning.ipynb):</w:t>
      </w:r>
    </w:p>
    <w:p>
      <w:pPr>
        <w:pStyle w:val="ListParagraph"/>
        <w:numPr>
          <w:ilvl w:val="0"/>
          <w:numId w:val="3"/>
        </w:numPr>
        <w:spacing w:after="60" w:before="60"/>
      </w:pPr>
      <w:r>
        <w:rPr>
          <w:rFonts w:ascii="Arial" w:cs="Arial" w:eastAsia="Arial" w:hAnsi="Arial"/>
          <w:sz w:val="22"/>
          <w:szCs w:val="22"/>
        </w:rPr>
        <w:t xml:space="preserve">Date filtering: Flag and separately analyze records older than 3-5 years. Given inflation and potential material cost changes, consider building two datasets — one full-history and one recent-history (last 3 years) — and test model performance on both.</w:t>
      </w:r>
    </w:p>
    <w:p>
      <w:pPr>
        <w:pStyle w:val="ListParagraph"/>
        <w:numPr>
          <w:ilvl w:val="0"/>
          <w:numId w:val="3"/>
        </w:numPr>
        <w:spacing w:after="60" w:before="60"/>
      </w:pPr>
      <w:r>
        <w:rPr>
          <w:rFonts w:ascii="Arial" w:cs="Arial" w:eastAsia="Arial" w:hAnsi="Arial"/>
          <w:sz w:val="22"/>
          <w:szCs w:val="22"/>
        </w:rPr>
        <w:t xml:space="preserve">Field consolidation: Audit each column for data scattered across wrong fields (e.g., door size entered in the notes field). Use regex pattern matching to extract structured values from free-text fields (pandas str.extract()).</w:t>
      </w:r>
    </w:p>
    <w:p>
      <w:pPr>
        <w:pStyle w:val="ListParagraph"/>
        <w:numPr>
          <w:ilvl w:val="0"/>
          <w:numId w:val="3"/>
        </w:numPr>
        <w:spacing w:after="60" w:before="60"/>
      </w:pPr>
      <w:r>
        <w:rPr>
          <w:rFonts w:ascii="Arial" w:cs="Arial" w:eastAsia="Arial" w:hAnsi="Arial"/>
          <w:sz w:val="22"/>
          <w:szCs w:val="22"/>
        </w:rPr>
        <w:t xml:space="preserve">Standardize categoricals: Unify door type entries (e.g., 'Garage', 'garage door', 'GD' should all map to the same category). Build a mapping dictionary and apply it consistently.</w:t>
      </w:r>
    </w:p>
    <w:p>
      <w:pPr>
        <w:pStyle w:val="ListParagraph"/>
        <w:numPr>
          <w:ilvl w:val="0"/>
          <w:numId w:val="3"/>
        </w:numPr>
        <w:spacing w:after="60" w:before="60"/>
      </w:pPr>
      <w:r>
        <w:rPr>
          <w:rFonts w:ascii="Arial" w:cs="Arial" w:eastAsia="Arial" w:hAnsi="Arial"/>
          <w:sz w:val="22"/>
          <w:szCs w:val="22"/>
        </w:rPr>
        <w:t xml:space="preserve">Handle missing values: For missing labor hours, impute using the median hours for the same door type and size tier. For missing travel distance, impute using the customer's zip code band if available, otherwise flag as unknown.</w:t>
      </w:r>
    </w:p>
    <w:p>
      <w:pPr>
        <w:pStyle w:val="ListParagraph"/>
        <w:numPr>
          <w:ilvl w:val="0"/>
          <w:numId w:val="3"/>
        </w:numPr>
        <w:spacing w:after="60" w:before="60"/>
      </w:pPr>
      <w:r>
        <w:rPr>
          <w:rFonts w:ascii="Arial" w:cs="Arial" w:eastAsia="Arial" w:hAnsi="Arial"/>
          <w:sz w:val="22"/>
          <w:szCs w:val="22"/>
        </w:rPr>
        <w:t xml:space="preserve">Outlier detection: Flag invoices where the total price is more than 3 standard deviations from the mean for its door type category. Review these manually with Angelyn before removing — they may represent legitimate special jobs or data entry errors.</w:t>
      </w:r>
    </w:p>
    <w:p>
      <w:pPr>
        <w:pStyle w:val="ListParagraph"/>
        <w:numPr>
          <w:ilvl w:val="0"/>
          <w:numId w:val="3"/>
        </w:numPr>
        <w:spacing w:after="60" w:before="60"/>
      </w:pPr>
      <w:r>
        <w:rPr>
          <w:rFonts w:ascii="Arial" w:cs="Arial" w:eastAsia="Arial" w:hAnsi="Arial"/>
          <w:sz w:val="22"/>
          <w:szCs w:val="22"/>
        </w:rPr>
        <w:t xml:space="preserve">Currency normalization: If the dataset spans many years, apply a CPI-based inflation adjustment (using the U.S. BLS CPI index) to convert all historical prices to present-day dollars before modeling.</w:t>
      </w:r>
    </w:p>
    <w:p>
      <w:pPr>
        <w:spacing w:after="60" w:before="60"/>
      </w:pPr>
      <w:r>
        <w:rPr>
          <w:rFonts w:ascii="Arial" w:cs="Arial" w:eastAsia="Arial" w:hAnsi="Arial"/>
          <w:b w:val="false"/>
          <w:bCs w:val="false"/>
          <w:color w:val="111111"/>
          <w:sz w:val="22"/>
          <w:szCs w:val="22"/>
        </w:rPr>
        <w:t xml:space="preserve">Save cleaned output to /data/processed/kornelsen_cleaned.csv. Log every transformation decision in cleaning_log.txt.</w:t>
      </w:r>
    </w:p>
    <w:p>
      <w:pPr>
        <w:pStyle w:val="Heading3"/>
        <w:spacing w:after="80" w:before="200"/>
      </w:pPr>
      <w:r>
        <w:rPr>
          <w:rFonts w:ascii="Arial" w:cs="Arial" w:eastAsia="Arial" w:hAnsi="Arial"/>
          <w:b/>
          <w:bCs/>
          <w:color w:val="1F3864"/>
          <w:sz w:val="22"/>
          <w:szCs w:val="22"/>
        </w:rPr>
        <w:t xml:space="preserve">Step 1.3 — Feature Engineering</w:t>
      </w:r>
    </w:p>
    <w:p>
      <w:pPr>
        <w:spacing w:after="60" w:before="60"/>
      </w:pPr>
      <w:r>
        <w:rPr>
          <w:rFonts w:ascii="Arial" w:cs="Arial" w:eastAsia="Arial" w:hAnsi="Arial"/>
          <w:b w:val="false"/>
          <w:bCs w:val="false"/>
          <w:color w:val="111111"/>
          <w:sz w:val="22"/>
          <w:szCs w:val="22"/>
        </w:rPr>
        <w:t xml:space="preserve">The pricing formula should be built on the six key drivers identified in your problem statement. Engineer the following features:</w:t>
      </w:r>
    </w:p>
    <w:p>
      <w:pPr>
        <w:pStyle w:val="ListParagraph"/>
        <w:numPr>
          <w:ilvl w:val="0"/>
          <w:numId w:val="4"/>
        </w:numPr>
        <w:spacing w:after="40" w:before="40"/>
      </w:pPr>
      <w:r>
        <w:rPr>
          <w:rFonts w:ascii="Arial" w:cs="Arial" w:eastAsia="Arial" w:hAnsi="Arial"/>
          <w:sz w:val="22"/>
          <w:szCs w:val="22"/>
        </w:rPr>
        <w:t xml:space="preserve">door_type_encoded: one-hot encode door type categories (e.g., standard, custom, commercial, garage). This will create binary columns per category.</w:t>
      </w:r>
    </w:p>
    <w:p>
      <w:pPr>
        <w:pStyle w:val="ListParagraph"/>
        <w:numPr>
          <w:ilvl w:val="0"/>
          <w:numId w:val="4"/>
        </w:numPr>
        <w:spacing w:after="40" w:before="40"/>
      </w:pPr>
      <w:r>
        <w:rPr>
          <w:rFonts w:ascii="Arial" w:cs="Arial" w:eastAsia="Arial" w:hAnsi="Arial"/>
          <w:sz w:val="22"/>
          <w:szCs w:val="22"/>
        </w:rPr>
        <w:t xml:space="preserve">size_sqft or size_tier: if exact dimensions are available, keep as continuous. If only rough sizes are recorded, bin into Small / Medium / Large / Extra-Large tiers.</w:t>
      </w:r>
    </w:p>
    <w:p>
      <w:pPr>
        <w:pStyle w:val="ListParagraph"/>
        <w:numPr>
          <w:ilvl w:val="0"/>
          <w:numId w:val="4"/>
        </w:numPr>
        <w:spacing w:after="40" w:before="40"/>
      </w:pPr>
      <w:r>
        <w:rPr>
          <w:rFonts w:ascii="Arial" w:cs="Arial" w:eastAsia="Arial" w:hAnsi="Arial"/>
          <w:sz w:val="22"/>
          <w:szCs w:val="22"/>
        </w:rPr>
        <w:t xml:space="preserve">materials_cost: if itemized, sum all material line-item costs per invoice. If not itemized, use door type average as a proxy.</w:t>
      </w:r>
    </w:p>
    <w:p>
      <w:pPr>
        <w:pStyle w:val="ListParagraph"/>
        <w:numPr>
          <w:ilvl w:val="0"/>
          <w:numId w:val="4"/>
        </w:numPr>
        <w:spacing w:after="40" w:before="40"/>
      </w:pPr>
      <w:r>
        <w:rPr>
          <w:rFonts w:ascii="Arial" w:cs="Arial" w:eastAsia="Arial" w:hAnsi="Arial"/>
          <w:sz w:val="22"/>
          <w:szCs w:val="22"/>
        </w:rPr>
        <w:t xml:space="preserve">labor_hours: direct numeric field. If absent, engineer from invoice totals by subtracting estimated materials cost and dividing by an assumed hourly rate.</w:t>
      </w:r>
    </w:p>
    <w:p>
      <w:pPr>
        <w:pStyle w:val="ListParagraph"/>
        <w:numPr>
          <w:ilvl w:val="0"/>
          <w:numId w:val="4"/>
        </w:numPr>
        <w:spacing w:after="40" w:before="40"/>
      </w:pPr>
      <w:r>
        <w:rPr>
          <w:rFonts w:ascii="Arial" w:cs="Arial" w:eastAsia="Arial" w:hAnsi="Arial"/>
          <w:sz w:val="22"/>
          <w:szCs w:val="22"/>
        </w:rPr>
        <w:t xml:space="preserve">travel_distance_km: numeric. If only city/zone is recorded, map to approximate distance from business base using a distance lookup table.</w:t>
      </w:r>
    </w:p>
    <w:p>
      <w:pPr>
        <w:pStyle w:val="ListParagraph"/>
        <w:numPr>
          <w:ilvl w:val="0"/>
          <w:numId w:val="4"/>
        </w:numPr>
        <w:spacing w:after="40" w:before="40"/>
      </w:pPr>
      <w:r>
        <w:rPr>
          <w:rFonts w:ascii="Arial" w:cs="Arial" w:eastAsia="Arial" w:hAnsi="Arial"/>
          <w:sz w:val="22"/>
          <w:szCs w:val="22"/>
        </w:rPr>
        <w:t xml:space="preserve">customer_tier: encode as ordinal (0 = new, 1 = recurring, 2 = loyalty/preferred) to capture discount relationship logic.</w:t>
      </w:r>
    </w:p>
    <w:p>
      <w:pPr>
        <w:pStyle w:val="ListParagraph"/>
        <w:numPr>
          <w:ilvl w:val="0"/>
          <w:numId w:val="4"/>
        </w:numPr>
        <w:spacing w:after="40" w:before="40"/>
      </w:pPr>
      <w:r>
        <w:rPr>
          <w:rFonts w:ascii="Arial" w:cs="Arial" w:eastAsia="Arial" w:hAnsi="Arial"/>
          <w:sz w:val="22"/>
          <w:szCs w:val="22"/>
        </w:rPr>
        <w:t xml:space="preserve">job_complexity_score: composite feature. Engineer as a weighted sum of door_type_complexity_rank + non_standard_flag + num_line_items. This captures jobs that are harder to quote.</w:t>
      </w:r>
    </w:p>
    <w:p>
      <w:pPr>
        <w:pStyle w:val="ListParagraph"/>
        <w:numPr>
          <w:ilvl w:val="0"/>
          <w:numId w:val="4"/>
        </w:numPr>
        <w:spacing w:after="40" w:before="40"/>
      </w:pPr>
      <w:r>
        <w:rPr>
          <w:rFonts w:ascii="Arial" w:cs="Arial" w:eastAsia="Arial" w:hAnsi="Arial"/>
          <w:sz w:val="22"/>
          <w:szCs w:val="22"/>
        </w:rPr>
        <w:t xml:space="preserve">season: extract month from invoice date and encode as a cyclical feature (sin/cos of month) or as a quarter categorical to capture seasonal demand variation.</w:t>
      </w:r>
    </w:p>
    <w:p>
      <w:pPr>
        <w:spacing w:after="60" w:before="60"/>
      </w:pPr>
      <w:r>
        <w:rPr>
          <w:rFonts w:ascii="Arial" w:cs="Arial" w:eastAsia="Arial" w:hAnsi="Arial"/>
          <w:b w:val="false"/>
          <w:bCs w:val="false"/>
          <w:color w:val="111111"/>
          <w:sz w:val="22"/>
          <w:szCs w:val="22"/>
        </w:rPr>
        <w:t xml:space="preserve">Save the final feature matrix to /data/processed/kornelsen_features.csv. Maintain a features_manifest.csv with each feature name, source column, transformation applied, and data type.</w:t>
      </w:r>
    </w:p>
    <w:p>
      <w:pPr>
        <w:spacing w:after="160" w:before="0"/>
      </w:pPr>
      <w:r>
        <w:rPr>
          <w:sz w:val="22"/>
          <w:szCs w:val="22"/>
        </w:rPr>
        <w:t xml:space="preserve"/>
      </w:r>
    </w:p>
    <w:p>
      <w:pPr>
        <w:pStyle w:val="Heading2"/>
        <w:spacing w:after="100" w:before="280"/>
      </w:pPr>
      <w:r>
        <w:rPr>
          <w:rFonts w:ascii="Arial" w:cs="Arial" w:eastAsia="Arial" w:hAnsi="Arial"/>
          <w:b/>
          <w:bCs/>
          <w:color w:val="1A7A5E"/>
          <w:sz w:val="26"/>
          <w:szCs w:val="26"/>
        </w:rPr>
        <w:t xml:space="preserve">Phase 2: Exploratory Data Analysis (EDA)</w:t>
      </w:r>
    </w:p>
    <w:p>
      <w:pPr>
        <w:spacing w:after="60" w:before="60"/>
      </w:pPr>
      <w:r>
        <w:rPr>
          <w:rFonts w:ascii="Arial" w:cs="Arial" w:eastAsia="Arial" w:hAnsi="Arial"/>
          <w:b w:val="false"/>
          <w:bCs w:val="false"/>
          <w:color w:val="111111"/>
          <w:sz w:val="22"/>
          <w:szCs w:val="22"/>
        </w:rPr>
        <w:t xml:space="preserve">With only ~500 invoices, every chart should be interpreted carefully. EDA here is not just visual — it is your primary tool for validating that the data is trustworthy before you build any model. Work in 02_EDA.ipynb.</w:t>
      </w:r>
    </w:p>
    <w:p>
      <w:pPr>
        <w:pStyle w:val="Heading3"/>
        <w:spacing w:after="80" w:before="200"/>
      </w:pPr>
      <w:r>
        <w:rPr>
          <w:rFonts w:ascii="Arial" w:cs="Arial" w:eastAsia="Arial" w:hAnsi="Arial"/>
          <w:b/>
          <w:bCs/>
          <w:color w:val="1F3864"/>
          <w:sz w:val="22"/>
          <w:szCs w:val="22"/>
        </w:rPr>
        <w:t xml:space="preserve">Step 2.1 — Target Variable Analysis (Invoice Total / Price)</w:t>
      </w:r>
    </w:p>
    <w:p>
      <w:pPr>
        <w:pStyle w:val="ListParagraph"/>
        <w:numPr>
          <w:ilvl w:val="0"/>
          <w:numId w:val="4"/>
        </w:numPr>
        <w:spacing w:after="40" w:before="40"/>
      </w:pPr>
      <w:r>
        <w:rPr>
          <w:rFonts w:ascii="Arial" w:cs="Arial" w:eastAsia="Arial" w:hAnsi="Arial"/>
          <w:sz w:val="22"/>
          <w:szCs w:val="22"/>
        </w:rPr>
        <w:t xml:space="preserve">Histogram + KDE of invoice totals: check for bi-modality (which would suggest two distinct job types, e.g., simple vs. complex). Apply log transform if heavily right-skewed.</w:t>
      </w:r>
    </w:p>
    <w:p>
      <w:pPr>
        <w:pStyle w:val="ListParagraph"/>
        <w:numPr>
          <w:ilvl w:val="0"/>
          <w:numId w:val="4"/>
        </w:numPr>
        <w:spacing w:after="40" w:before="40"/>
      </w:pPr>
      <w:r>
        <w:rPr>
          <w:rFonts w:ascii="Arial" w:cs="Arial" w:eastAsia="Arial" w:hAnsi="Arial"/>
          <w:sz w:val="22"/>
          <w:szCs w:val="22"/>
        </w:rPr>
        <w:t xml:space="preserve">Box plot of price by door_type: this is the most critical chart — it tells you whether door type alone explains most of the price variance.</w:t>
      </w:r>
    </w:p>
    <w:p>
      <w:pPr>
        <w:pStyle w:val="ListParagraph"/>
        <w:numPr>
          <w:ilvl w:val="0"/>
          <w:numId w:val="4"/>
        </w:numPr>
        <w:spacing w:after="40" w:before="40"/>
      </w:pPr>
      <w:r>
        <w:rPr>
          <w:rFonts w:ascii="Arial" w:cs="Arial" w:eastAsia="Arial" w:hAnsi="Arial"/>
          <w:sz w:val="22"/>
          <w:szCs w:val="22"/>
        </w:rPr>
        <w:t xml:space="preserve">Time-series line chart of average monthly invoice total over the full date range: visually confirm whether inflation drift is visible and whether your date-filtering decision in Step 1.2 was appropriate.</w:t>
      </w:r>
    </w:p>
    <w:p>
      <w:pPr>
        <w:pStyle w:val="Heading3"/>
        <w:spacing w:after="80" w:before="200"/>
      </w:pPr>
      <w:r>
        <w:rPr>
          <w:rFonts w:ascii="Arial" w:cs="Arial" w:eastAsia="Arial" w:hAnsi="Arial"/>
          <w:b/>
          <w:bCs/>
          <w:color w:val="1F3864"/>
          <w:sz w:val="22"/>
          <w:szCs w:val="22"/>
        </w:rPr>
        <w:t xml:space="preserve">Step 2.2 — Feature vs. Price Relationships</w:t>
      </w:r>
    </w:p>
    <w:p>
      <w:pPr>
        <w:pStyle w:val="ListParagraph"/>
        <w:numPr>
          <w:ilvl w:val="0"/>
          <w:numId w:val="4"/>
        </w:numPr>
        <w:spacing w:after="40" w:before="40"/>
      </w:pPr>
      <w:r>
        <w:rPr>
          <w:rFonts w:ascii="Arial" w:cs="Arial" w:eastAsia="Arial" w:hAnsi="Arial"/>
          <w:sz w:val="22"/>
          <w:szCs w:val="22"/>
        </w:rPr>
        <w:t xml:space="preserve">Scatter plot: labor_hours vs. price, colored by door_type. Expect a strong positive linear relationship — if not, data quality issues may be present.</w:t>
      </w:r>
    </w:p>
    <w:p>
      <w:pPr>
        <w:pStyle w:val="ListParagraph"/>
        <w:numPr>
          <w:ilvl w:val="0"/>
          <w:numId w:val="4"/>
        </w:numPr>
        <w:spacing w:after="40" w:before="40"/>
      </w:pPr>
      <w:r>
        <w:rPr>
          <w:rFonts w:ascii="Arial" w:cs="Arial" w:eastAsia="Arial" w:hAnsi="Arial"/>
          <w:sz w:val="22"/>
          <w:szCs w:val="22"/>
        </w:rPr>
        <w:t xml:space="preserve">Scatter plot: travel_distance_km vs. price. You expect a modest positive relationship. Flat patterns here mean travel is not being priced in — a finding worth reporting to Royden.</w:t>
      </w:r>
    </w:p>
    <w:p>
      <w:pPr>
        <w:pStyle w:val="ListParagraph"/>
        <w:numPr>
          <w:ilvl w:val="0"/>
          <w:numId w:val="4"/>
        </w:numPr>
        <w:spacing w:after="40" w:before="40"/>
      </w:pPr>
      <w:r>
        <w:rPr>
          <w:rFonts w:ascii="Arial" w:cs="Arial" w:eastAsia="Arial" w:hAnsi="Arial"/>
          <w:sz w:val="22"/>
          <w:szCs w:val="22"/>
        </w:rPr>
        <w:t xml:space="preserve">Scatter plot: materials_cost vs. price. Should be near-linear. Significant scatter indicates inconsistent markup practices.</w:t>
      </w:r>
    </w:p>
    <w:p>
      <w:pPr>
        <w:pStyle w:val="ListParagraph"/>
        <w:numPr>
          <w:ilvl w:val="0"/>
          <w:numId w:val="4"/>
        </w:numPr>
        <w:spacing w:after="40" w:before="40"/>
      </w:pPr>
      <w:r>
        <w:rPr>
          <w:rFonts w:ascii="Arial" w:cs="Arial" w:eastAsia="Arial" w:hAnsi="Arial"/>
          <w:sz w:val="22"/>
          <w:szCs w:val="22"/>
        </w:rPr>
        <w:t xml:space="preserve">Box plot: price by customer_tier. This directly measures how much loyalty/relationship discounting is happening — a key business insight.</w:t>
      </w:r>
    </w:p>
    <w:p>
      <w:pPr>
        <w:pStyle w:val="ListParagraph"/>
        <w:numPr>
          <w:ilvl w:val="0"/>
          <w:numId w:val="4"/>
        </w:numPr>
        <w:spacing w:after="40" w:before="40"/>
      </w:pPr>
      <w:r>
        <w:rPr>
          <w:rFonts w:ascii="Arial" w:cs="Arial" w:eastAsia="Arial" w:hAnsi="Arial"/>
          <w:sz w:val="22"/>
          <w:szCs w:val="22"/>
        </w:rPr>
        <w:t xml:space="preserve">Bar chart: mean price and count by door_type, sorted descending. Shows which job types are most common and highest revenue.</w:t>
      </w:r>
    </w:p>
    <w:p>
      <w:pPr>
        <w:pStyle w:val="Heading3"/>
        <w:spacing w:after="80" w:before="200"/>
      </w:pPr>
      <w:r>
        <w:rPr>
          <w:rFonts w:ascii="Arial" w:cs="Arial" w:eastAsia="Arial" w:hAnsi="Arial"/>
          <w:b/>
          <w:bCs/>
          <w:color w:val="1F3864"/>
          <w:sz w:val="22"/>
          <w:szCs w:val="22"/>
        </w:rPr>
        <w:t xml:space="preserve">Step 2.3 — Correlation &amp; Multicollinearity</w:t>
      </w:r>
    </w:p>
    <w:p>
      <w:pPr>
        <w:pStyle w:val="ListParagraph"/>
        <w:numPr>
          <w:ilvl w:val="0"/>
          <w:numId w:val="4"/>
        </w:numPr>
        <w:spacing w:after="40" w:before="40"/>
      </w:pPr>
      <w:r>
        <w:rPr>
          <w:rFonts w:ascii="Arial" w:cs="Arial" w:eastAsia="Arial" w:hAnsi="Arial"/>
          <w:sz w:val="22"/>
          <w:szCs w:val="22"/>
        </w:rPr>
        <w:t xml:space="preserve">Correlation heatmap (Seaborn) of all numeric features vs. price. Annotate cells with values. Highlight any features with |r| &gt; 0.6 with price (strong predictors) and any feature-feature correlations &gt; 0.8 (multicollinearity risk).</w:t>
      </w:r>
    </w:p>
    <w:p>
      <w:pPr>
        <w:pStyle w:val="ListParagraph"/>
        <w:numPr>
          <w:ilvl w:val="0"/>
          <w:numId w:val="4"/>
        </w:numPr>
        <w:spacing w:after="40" w:before="40"/>
      </w:pPr>
      <w:r>
        <w:rPr>
          <w:rFonts w:ascii="Arial" w:cs="Arial" w:eastAsia="Arial" w:hAnsi="Arial"/>
          <w:sz w:val="22"/>
          <w:szCs w:val="22"/>
        </w:rPr>
        <w:t xml:space="preserve">Variance Inflation Factor (VIF) table: compute VIF for all numeric features. Drop or combine features with VIF &gt; 10 to prevent model instability.</w:t>
      </w:r>
    </w:p>
    <w:p>
      <w:pPr>
        <w:pStyle w:val="Heading3"/>
        <w:spacing w:after="80" w:before="200"/>
      </w:pPr>
      <w:r>
        <w:rPr>
          <w:rFonts w:ascii="Arial" w:cs="Arial" w:eastAsia="Arial" w:hAnsi="Arial"/>
          <w:b/>
          <w:bCs/>
          <w:color w:val="1F3864"/>
          <w:sz w:val="22"/>
          <w:szCs w:val="22"/>
        </w:rPr>
        <w:t xml:space="preserve">Step 2.4 — Data Quality Audit Charts</w:t>
      </w:r>
    </w:p>
    <w:p>
      <w:pPr>
        <w:pStyle w:val="ListParagraph"/>
        <w:numPr>
          <w:ilvl w:val="0"/>
          <w:numId w:val="4"/>
        </w:numPr>
        <w:spacing w:after="40" w:before="40"/>
      </w:pPr>
      <w:r>
        <w:rPr>
          <w:rFonts w:ascii="Arial" w:cs="Arial" w:eastAsia="Arial" w:hAnsi="Arial"/>
          <w:sz w:val="22"/>
          <w:szCs w:val="22"/>
        </w:rPr>
        <w:t xml:space="preserve">Missing values heatmap (missingno library): visualize which rows and columns have gaps. If a particular column is missing &gt;30% of values, decide whether to drop or impute.</w:t>
      </w:r>
    </w:p>
    <w:p>
      <w:pPr>
        <w:pStyle w:val="ListParagraph"/>
        <w:numPr>
          <w:ilvl w:val="0"/>
          <w:numId w:val="4"/>
        </w:numPr>
        <w:spacing w:after="40" w:before="40"/>
      </w:pPr>
      <w:r>
        <w:rPr>
          <w:rFonts w:ascii="Arial" w:cs="Arial" w:eastAsia="Arial" w:hAnsi="Arial"/>
          <w:sz w:val="22"/>
          <w:szCs w:val="22"/>
        </w:rPr>
        <w:t xml:space="preserve">Bar chart of record count by year: immediately shows whether data is thin in certain years, which informs the date-filtering decision.</w:t>
      </w:r>
    </w:p>
    <w:p>
      <w:pPr>
        <w:pStyle w:val="ListParagraph"/>
        <w:numPr>
          <w:ilvl w:val="0"/>
          <w:numId w:val="4"/>
        </w:numPr>
        <w:spacing w:after="40" w:before="40"/>
      </w:pPr>
      <w:r>
        <w:rPr>
          <w:rFonts w:ascii="Arial" w:cs="Arial" w:eastAsia="Arial" w:hAnsi="Arial"/>
          <w:sz w:val="22"/>
          <w:szCs w:val="22"/>
        </w:rPr>
        <w:t xml:space="preserve">Duplicate detection summary: print count of exact-duplicate invoice rows and near-duplicates (same customer, date, and total but different IDs).</w:t>
      </w:r>
    </w:p>
    <w:p>
      <w:pPr>
        <w:spacing w:after="60" w:before="60"/>
      </w:pPr>
      <w:r>
        <w:rPr>
          <w:rFonts w:ascii="Arial" w:cs="Arial" w:eastAsia="Arial" w:hAnsi="Arial"/>
          <w:b w:val="false"/>
          <w:bCs w:val="false"/>
          <w:color w:val="111111"/>
          <w:sz w:val="22"/>
          <w:szCs w:val="22"/>
        </w:rPr>
        <w:t xml:space="preserve">Summarize all EDA findings in a written narrative cell at the top of the notebook. Flag any patterns that contradict your intuitions or that Royden should be made aware of as business insights independent of the model.</w:t>
      </w:r>
    </w:p>
    <w:p>
      <w:pPr>
        <w:spacing w:after="160" w:before="0"/>
      </w:pPr>
      <w:r>
        <w:rPr>
          <w:sz w:val="22"/>
          <w:szCs w:val="22"/>
        </w:rPr>
        <w:t xml:space="preserve"/>
      </w:r>
    </w:p>
    <w:p>
      <w:pPr>
        <w:pStyle w:val="Heading2"/>
        <w:spacing w:after="100" w:before="280"/>
      </w:pPr>
      <w:r>
        <w:rPr>
          <w:rFonts w:ascii="Arial" w:cs="Arial" w:eastAsia="Arial" w:hAnsi="Arial"/>
          <w:b/>
          <w:bCs/>
          <w:color w:val="1A7A5E"/>
          <w:sz w:val="26"/>
          <w:szCs w:val="26"/>
        </w:rPr>
        <w:t xml:space="preserve">Phase 3: Advanced Modeling Approaches</w:t>
      </w:r>
    </w:p>
    <w:p>
      <w:pPr>
        <w:spacing w:after="60" w:before="60"/>
      </w:pPr>
      <w:r>
        <w:rPr>
          <w:rFonts w:ascii="Arial" w:cs="Arial" w:eastAsia="Arial" w:hAnsi="Arial"/>
          <w:b w:val="false"/>
          <w:bCs w:val="false"/>
          <w:color w:val="111111"/>
          <w:sz w:val="22"/>
          <w:szCs w:val="22"/>
        </w:rPr>
        <w:t xml:space="preserve">Given the small dataset (~500 records), interpretability requirements, and the non-technical end user, the modeling philosophy here prioritizes explainability and reliability over raw predictive power. Three approaches are detailed below. All models should be trained on an 80/20 train-test split.</w:t>
      </w:r>
    </w:p>
    <w:p>
      <w:pPr>
        <w:pBdr>
          <w:left w:val="single" w:color="1A7A5E" w:sz="14" w:space="8"/>
        </w:pBdr>
        <w:spacing w:after="80" w:before="80"/>
        <w:ind w:left="360"/>
      </w:pPr>
      <w:r>
        <w:rPr>
          <w:rFonts w:ascii="Arial" w:cs="Arial" w:eastAsia="Arial" w:hAnsi="Arial"/>
          <w:color w:val="1F3864"/>
          <w:sz w:val="21"/>
          <w:szCs w:val="21"/>
        </w:rPr>
        <w:t xml:space="preserve">Important constraint: The final deliverable must be usable by Royden Kornelsen as a daily quoting tool. Prioritize models whose outputs can be expressed as a simple formula, lookup table, or interactive spreadsheet — not a black box.</w:t>
      </w:r>
    </w:p>
    <w:p>
      <w:pPr>
        <w:pStyle w:val="Heading3"/>
        <w:spacing w:after="80" w:before="200"/>
      </w:pPr>
      <w:r>
        <w:rPr>
          <w:rFonts w:ascii="Arial" w:cs="Arial" w:eastAsia="Arial" w:hAnsi="Arial"/>
          <w:b/>
          <w:bCs/>
          <w:color w:val="1F3864"/>
          <w:sz w:val="22"/>
          <w:szCs w:val="22"/>
        </w:rPr>
        <w:t xml:space="preserve">Approach 1 — Regularized Linear Regression (Primary / Deliverable Model)</w:t>
      </w:r>
    </w:p>
    <w:p>
      <w:pPr>
        <w:spacing w:after="60" w:before="60"/>
      </w:pPr>
      <w:r>
        <w:rPr>
          <w:rFonts w:ascii="Arial" w:cs="Arial" w:eastAsia="Arial" w:hAnsi="Arial"/>
          <w:b w:val="false"/>
          <w:bCs w:val="false"/>
          <w:color w:val="111111"/>
          <w:sz w:val="22"/>
          <w:szCs w:val="22"/>
        </w:rPr>
        <w:t xml:space="preserve">Ridge Regression or Lasso Regression should be your primary model. It produces an explicit pricing formula with named coefficients that directly map to the business variables Royden understands.</w:t>
      </w:r>
    </w:p>
    <w:p>
      <w:pPr>
        <w:pStyle w:val="ListParagraph"/>
        <w:numPr>
          <w:ilvl w:val="0"/>
          <w:numId w:val="4"/>
        </w:numPr>
        <w:spacing w:after="40" w:before="40"/>
      </w:pPr>
      <w:r>
        <w:rPr>
          <w:rFonts w:ascii="Arial" w:cs="Arial" w:eastAsia="Arial" w:hAnsi="Arial"/>
          <w:sz w:val="22"/>
          <w:szCs w:val="22"/>
        </w:rPr>
        <w:t xml:space="preserve">Algorithm: Ridge Regression (scikit-learn RidgeCV) with cross-validated alpha selection, or Lasso for automatic feature selection.</w:t>
      </w:r>
    </w:p>
    <w:p>
      <w:pPr>
        <w:pStyle w:val="ListParagraph"/>
        <w:numPr>
          <w:ilvl w:val="0"/>
          <w:numId w:val="4"/>
        </w:numPr>
        <w:spacing w:after="40" w:before="40"/>
      </w:pPr>
      <w:r>
        <w:rPr>
          <w:rFonts w:ascii="Arial" w:cs="Arial" w:eastAsia="Arial" w:hAnsi="Arial"/>
          <w:sz w:val="22"/>
          <w:szCs w:val="22"/>
        </w:rPr>
        <w:t xml:space="preserve">Why it fits: With only ~500 records, a linear model is less likely to overfit than a complex ensemble. The coefficients are directly interpretable as 'price per labor hour', 'price per km of travel', etc.</w:t>
      </w:r>
    </w:p>
    <w:p>
      <w:pPr>
        <w:pStyle w:val="ListParagraph"/>
        <w:numPr>
          <w:ilvl w:val="0"/>
          <w:numId w:val="4"/>
        </w:numPr>
        <w:spacing w:after="40" w:before="40"/>
      </w:pPr>
      <w:r>
        <w:rPr>
          <w:rFonts w:ascii="Arial" w:cs="Arial" w:eastAsia="Arial" w:hAnsi="Arial"/>
          <w:sz w:val="22"/>
          <w:szCs w:val="22"/>
        </w:rPr>
        <w:t xml:space="preserve">Output artifact: Print the final coefficient table as a human-readable pricing equation, e.g.: Price = 45.20 + 38.50 * labor_hours + 1.10 * materials_cost + 0.85 * travel_km + [door type adjustments].</w:t>
      </w:r>
    </w:p>
    <w:p>
      <w:pPr>
        <w:pStyle w:val="ListParagraph"/>
        <w:numPr>
          <w:ilvl w:val="0"/>
          <w:numId w:val="4"/>
        </w:numPr>
        <w:spacing w:after="40" w:before="40"/>
      </w:pPr>
      <w:r>
        <w:rPr>
          <w:rFonts w:ascii="Arial" w:cs="Arial" w:eastAsia="Arial" w:hAnsi="Arial"/>
          <w:sz w:val="22"/>
          <w:szCs w:val="22"/>
        </w:rPr>
        <w:t xml:space="preserve">This equation can be directly entered into a simple Excel or Google Sheets pricing tool for Royden's daily use.</w:t>
      </w:r>
    </w:p>
    <w:p>
      <w:pPr>
        <w:pStyle w:val="ListParagraph"/>
        <w:numPr>
          <w:ilvl w:val="0"/>
          <w:numId w:val="4"/>
        </w:numPr>
        <w:spacing w:after="40" w:before="40"/>
      </w:pPr>
      <w:r>
        <w:rPr>
          <w:rFonts w:ascii="Arial" w:cs="Arial" w:eastAsia="Arial" w:hAnsi="Arial"/>
          <w:sz w:val="22"/>
          <w:szCs w:val="22"/>
        </w:rPr>
        <w:t xml:space="preserve">Hyperparameter tuning: Use RidgeCV with alphas = [0.01, 0.1, 1, 10, 100] and 5-fold cross-validation.</w:t>
      </w:r>
    </w:p>
    <w:p>
      <w:pPr>
        <w:pStyle w:val="Heading3"/>
        <w:spacing w:after="80" w:before="200"/>
      </w:pPr>
      <w:r>
        <w:rPr>
          <w:rFonts w:ascii="Arial" w:cs="Arial" w:eastAsia="Arial" w:hAnsi="Arial"/>
          <w:b/>
          <w:bCs/>
          <w:color w:val="1F3864"/>
          <w:sz w:val="22"/>
          <w:szCs w:val="22"/>
        </w:rPr>
        <w:t xml:space="preserve">Approach 2 — Gradient Boosted Trees (XGBoost / LightGBM)</w:t>
      </w:r>
    </w:p>
    <w:p>
      <w:pPr>
        <w:spacing w:after="60" w:before="60"/>
      </w:pPr>
      <w:r>
        <w:rPr>
          <w:rFonts w:ascii="Arial" w:cs="Arial" w:eastAsia="Arial" w:hAnsi="Arial"/>
          <w:b w:val="false"/>
          <w:bCs w:val="false"/>
          <w:color w:val="111111"/>
          <w:sz w:val="22"/>
          <w:szCs w:val="22"/>
        </w:rPr>
        <w:t xml:space="preserve">A gradient boosting model serves as your advanced comparison model and is used to identify non-linear pricing patterns the linear model cannot capture.</w:t>
      </w:r>
    </w:p>
    <w:p>
      <w:pPr>
        <w:pStyle w:val="ListParagraph"/>
        <w:numPr>
          <w:ilvl w:val="0"/>
          <w:numId w:val="4"/>
        </w:numPr>
        <w:spacing w:after="40" w:before="40"/>
      </w:pPr>
      <w:r>
        <w:rPr>
          <w:rFonts w:ascii="Arial" w:cs="Arial" w:eastAsia="Arial" w:hAnsi="Arial"/>
          <w:sz w:val="22"/>
          <w:szCs w:val="22"/>
        </w:rPr>
        <w:t xml:space="preserve">Algorithm: XGBoost (xgboost) or LightGBM (lightgbm) with careful regularization to prevent overfitting on the small dataset.</w:t>
      </w:r>
    </w:p>
    <w:p>
      <w:pPr>
        <w:pStyle w:val="ListParagraph"/>
        <w:numPr>
          <w:ilvl w:val="0"/>
          <w:numId w:val="4"/>
        </w:numPr>
        <w:spacing w:after="40" w:before="40"/>
      </w:pPr>
      <w:r>
        <w:rPr>
          <w:rFonts w:ascii="Arial" w:cs="Arial" w:eastAsia="Arial" w:hAnsi="Arial"/>
          <w:sz w:val="22"/>
          <w:szCs w:val="22"/>
        </w:rPr>
        <w:t xml:space="preserve">Key hyperparameters to tune via Optuna: n_estimators (50–300), max_depth (2–4, shallow trees recommended for small data), learning_rate (0.01–0.1), subsample (0.6–0.9), min_child_weight.</w:t>
      </w:r>
    </w:p>
    <w:p>
      <w:pPr>
        <w:pStyle w:val="ListParagraph"/>
        <w:numPr>
          <w:ilvl w:val="0"/>
          <w:numId w:val="4"/>
        </w:numPr>
        <w:spacing w:after="40" w:before="40"/>
      </w:pPr>
      <w:r>
        <w:rPr>
          <w:rFonts w:ascii="Arial" w:cs="Arial" w:eastAsia="Arial" w:hAnsi="Arial"/>
          <w:sz w:val="22"/>
          <w:szCs w:val="22"/>
        </w:rPr>
        <w:t xml:space="preserve">Explainability: Generate a SHAP summary plot to identify which features drive price predictions the most. Compare SHAP feature importance against the linear model's coefficients — large disagreements indicate non-linear interactions worth investigating.</w:t>
      </w:r>
    </w:p>
    <w:p>
      <w:pPr>
        <w:pStyle w:val="ListParagraph"/>
        <w:numPr>
          <w:ilvl w:val="0"/>
          <w:numId w:val="4"/>
        </w:numPr>
        <w:spacing w:after="40" w:before="40"/>
      </w:pPr>
      <w:r>
        <w:rPr>
          <w:rFonts w:ascii="Arial" w:cs="Arial" w:eastAsia="Arial" w:hAnsi="Arial"/>
          <w:sz w:val="22"/>
          <w:szCs w:val="22"/>
        </w:rPr>
        <w:t xml:space="preserve">If XGBoost significantly outperforms Ridge (&gt;5% RMSE reduction), use SHAP dependence plots to identify the non-linear patterns and consider adding interaction terms to the linear model.</w:t>
      </w:r>
    </w:p>
    <w:p>
      <w:pPr>
        <w:pStyle w:val="Heading3"/>
        <w:spacing w:after="80" w:before="200"/>
      </w:pPr>
      <w:r>
        <w:rPr>
          <w:rFonts w:ascii="Arial" w:cs="Arial" w:eastAsia="Arial" w:hAnsi="Arial"/>
          <w:b/>
          <w:bCs/>
          <w:color w:val="1F3864"/>
          <w:sz w:val="22"/>
          <w:szCs w:val="22"/>
        </w:rPr>
        <w:t xml:space="preserve">Approach 3 — Decision Tree Pricing Rules (Business Deliverable)</w:t>
      </w:r>
    </w:p>
    <w:p>
      <w:pPr>
        <w:spacing w:after="60" w:before="60"/>
      </w:pPr>
      <w:r>
        <w:rPr>
          <w:rFonts w:ascii="Arial" w:cs="Arial" w:eastAsia="Arial" w:hAnsi="Arial"/>
          <w:b w:val="false"/>
          <w:bCs w:val="false"/>
          <w:color w:val="111111"/>
          <w:sz w:val="22"/>
          <w:szCs w:val="22"/>
        </w:rPr>
        <w:t xml:space="preserve">A shallow decision tree (max depth 4–5) produces a visual, human-readable pricing rulebook that Royden or an employee can follow without any software.</w:t>
      </w:r>
    </w:p>
    <w:p>
      <w:pPr>
        <w:pStyle w:val="ListParagraph"/>
        <w:numPr>
          <w:ilvl w:val="0"/>
          <w:numId w:val="4"/>
        </w:numPr>
        <w:spacing w:after="40" w:before="40"/>
      </w:pPr>
      <w:r>
        <w:rPr>
          <w:rFonts w:ascii="Arial" w:cs="Arial" w:eastAsia="Arial" w:hAnsi="Arial"/>
          <w:sz w:val="22"/>
          <w:szCs w:val="22"/>
        </w:rPr>
        <w:t xml:space="preserve">Algorithm: scikit-learn DecisionTreeRegressor with max_depth=4 and min_samples_leaf=10 (to prevent single-record leaf nodes in a small dataset).</w:t>
      </w:r>
    </w:p>
    <w:p>
      <w:pPr>
        <w:pStyle w:val="ListParagraph"/>
        <w:numPr>
          <w:ilvl w:val="0"/>
          <w:numId w:val="4"/>
        </w:numPr>
        <w:spacing w:after="40" w:before="40"/>
      </w:pPr>
      <w:r>
        <w:rPr>
          <w:rFonts w:ascii="Arial" w:cs="Arial" w:eastAsia="Arial" w:hAnsi="Arial"/>
          <w:sz w:val="22"/>
          <w:szCs w:val="22"/>
        </w:rPr>
        <w:t xml:space="preserve">Output artifact: Visualize the tree using sklearn.tree.plot_tree or the dtreeviz library. Export as a PNG image for the final report and a printed laminated card for the business.</w:t>
      </w:r>
    </w:p>
    <w:p>
      <w:pPr>
        <w:pStyle w:val="ListParagraph"/>
        <w:numPr>
          <w:ilvl w:val="0"/>
          <w:numId w:val="4"/>
        </w:numPr>
        <w:spacing w:after="40" w:before="40"/>
      </w:pPr>
      <w:r>
        <w:rPr>
          <w:rFonts w:ascii="Arial" w:cs="Arial" w:eastAsia="Arial" w:hAnsi="Arial"/>
          <w:sz w:val="22"/>
          <w:szCs w:val="22"/>
        </w:rPr>
        <w:t xml:space="preserve">Business use case: The decision tree becomes a 'pricing flowchart' — e.g., 'Is it a commercial door? If yes → Is it over 100 sqft? If yes → base price is $X.'</w:t>
      </w:r>
    </w:p>
    <w:p>
      <w:pPr>
        <w:pStyle w:val="ListParagraph"/>
        <w:numPr>
          <w:ilvl w:val="0"/>
          <w:numId w:val="4"/>
        </w:numPr>
        <w:spacing w:after="40" w:before="40"/>
      </w:pPr>
      <w:r>
        <w:rPr>
          <w:rFonts w:ascii="Arial" w:cs="Arial" w:eastAsia="Arial" w:hAnsi="Arial"/>
          <w:sz w:val="22"/>
          <w:szCs w:val="22"/>
        </w:rPr>
        <w:t xml:space="preserve">This approach directly addresses SMART Criterion 3 (90% task success rate) because any employee can follow the flowchart without training.</w:t>
      </w:r>
    </w:p>
    <w:p>
      <w:pPr>
        <w:spacing w:after="160" w:before="0"/>
      </w:pPr>
      <w:r>
        <w:rPr>
          <w:sz w:val="22"/>
          <w:szCs w:val="22"/>
        </w:rPr>
        <w:t xml:space="preserve"/>
      </w:r>
    </w:p>
    <w:p>
      <w:pPr>
        <w:pStyle w:val="Heading2"/>
        <w:spacing w:after="100" w:before="280"/>
      </w:pPr>
      <w:r>
        <w:rPr>
          <w:rFonts w:ascii="Arial" w:cs="Arial" w:eastAsia="Arial" w:hAnsi="Arial"/>
          <w:b/>
          <w:bCs/>
          <w:color w:val="1A7A5E"/>
          <w:sz w:val="26"/>
          <w:szCs w:val="26"/>
        </w:rPr>
        <w:t xml:space="preserve">Phase 4: Validation &amp; Evaluation</w:t>
      </w:r>
    </w:p>
    <w:p>
      <w:pPr>
        <w:spacing w:after="60" w:before="60"/>
      </w:pPr>
      <w:r>
        <w:rPr>
          <w:rFonts w:ascii="Arial" w:cs="Arial" w:eastAsia="Arial" w:hAnsi="Arial"/>
          <w:b w:val="false"/>
          <w:bCs w:val="false"/>
          <w:color w:val="111111"/>
          <w:sz w:val="22"/>
          <w:szCs w:val="22"/>
        </w:rPr>
        <w:t xml:space="preserve">Standard accuracy is not sufficient here. The evaluation must directly measure against the SMART criteria defined in your problem statement.</w:t>
      </w:r>
    </w:p>
    <w:p>
      <w:pPr>
        <w:pStyle w:val="Heading3"/>
        <w:spacing w:after="80" w:before="200"/>
      </w:pPr>
      <w:r>
        <w:rPr>
          <w:rFonts w:ascii="Arial" w:cs="Arial" w:eastAsia="Arial" w:hAnsi="Arial"/>
          <w:b/>
          <w:bCs/>
          <w:color w:val="1F3864"/>
          <w:sz w:val="22"/>
          <w:szCs w:val="22"/>
        </w:rPr>
        <w:t xml:space="preserve">Step 4.1 — Regression Metrics (Technical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36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396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Relevance to This Project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RMSE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Root Mean Squared Error — penalizes large pricing errors heavily</w:t>
            </w:r>
          </w:p>
        </w:tc>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Primary benchmark; lower = quotes closer to actual prices</w:t>
            </w:r>
          </w:p>
        </w:tc>
      </w:tr>
      <w:tr>
        <w:tc>
          <w:tcPr>
            <w:tcW w:type="dxa" w:w="18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MAE</w:t>
            </w:r>
          </w:p>
        </w:tc>
        <w:tc>
          <w:tcPr>
            <w:tcW w:type="dxa" w:w="36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Mean Absolute Error — average dollar error per quote</w:t>
            </w:r>
          </w:p>
        </w:tc>
        <w:tc>
          <w:tcPr>
            <w:tcW w:type="dxa" w:w="396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Directly tells Royden how far off a quote typically is (e.g., 'off by $12 on average')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MAPE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Mean Absolute Percentage Error — scale-independent</w:t>
            </w:r>
          </w:p>
        </w:tc>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Measures % accuracy — directly maps to SMART Criterion 1 (target: MAPE &lt; 10%)</w:t>
            </w:r>
          </w:p>
        </w:tc>
      </w:tr>
      <w:tr>
        <w:tc>
          <w:tcPr>
            <w:tcW w:type="dxa" w:w="18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R² Score</w:t>
            </w:r>
          </w:p>
        </w:tc>
        <w:tc>
          <w:tcPr>
            <w:tcW w:type="dxa" w:w="36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Proportion of price variance explained</w:t>
            </w:r>
          </w:p>
        </w:tc>
        <w:tc>
          <w:tcPr>
            <w:tcW w:type="dxa" w:w="396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Should be &gt;0.85 for a useful pricing model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Within-10% Rate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 of predictions within 10% of actual price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Direct test of SMART Criterion 1: target ≥ 90% of quotes within 10% of owner baseline</w:t>
            </w:r>
          </w:p>
        </w:tc>
      </w:tr>
    </w:tbl>
    <w:p>
      <w:pPr>
        <w:spacing w:after="160" w:before="0"/>
      </w:pPr>
      <w:r>
        <w:rPr>
          <w:sz w:val="22"/>
          <w:szCs w:val="22"/>
        </w:rPr>
        <w:t xml:space="preserve"/>
      </w:r>
    </w:p>
    <w:p>
      <w:pPr>
        <w:pStyle w:val="Heading3"/>
        <w:spacing w:after="80" w:before="200"/>
      </w:pPr>
      <w:r>
        <w:rPr>
          <w:rFonts w:ascii="Arial" w:cs="Arial" w:eastAsia="Arial" w:hAnsi="Arial"/>
          <w:b/>
          <w:bCs/>
          <w:color w:val="1F3864"/>
          <w:sz w:val="22"/>
          <w:szCs w:val="22"/>
        </w:rPr>
        <w:t xml:space="preserve">Step 4.2 — Business-Specific Validation (SMART Criteria Tests)</w:t>
      </w:r>
    </w:p>
    <w:p>
      <w:pPr>
        <w:pStyle w:val="ListParagraph"/>
        <w:numPr>
          <w:ilvl w:val="0"/>
          <w:numId w:val="4"/>
        </w:numPr>
        <w:spacing w:after="40" w:before="40"/>
      </w:pPr>
      <w:r>
        <w:rPr>
          <w:rFonts w:ascii="Arial" w:cs="Arial" w:eastAsia="Arial" w:hAnsi="Arial"/>
          <w:sz w:val="22"/>
          <w:szCs w:val="22"/>
        </w:rPr>
        <w:t xml:space="preserve">SMART Criterion 1 test: Run the trained model on 100 held-out invoices. Compute the percentage where the model's predicted price falls within 10% of the actual invoice price. Report this as your headline accuracy metric.</w:t>
      </w:r>
    </w:p>
    <w:p>
      <w:pPr>
        <w:pStyle w:val="ListParagraph"/>
        <w:numPr>
          <w:ilvl w:val="0"/>
          <w:numId w:val="4"/>
        </w:numPr>
        <w:spacing w:after="40" w:before="40"/>
      </w:pPr>
      <w:r>
        <w:rPr>
          <w:rFonts w:ascii="Arial" w:cs="Arial" w:eastAsia="Arial" w:hAnsi="Arial"/>
          <w:sz w:val="22"/>
          <w:szCs w:val="22"/>
        </w:rPr>
        <w:t xml:space="preserve">SMART Criterion 2 test: Compute the standard deviation of model outputs for 20-30 comparable input scenarios (same door type, same size, varying only customer tier). Compare to the standard deviation of historical quotes for those same job types. Target: ≥30% reduction in SD.</w:t>
      </w:r>
    </w:p>
    <w:p>
      <w:pPr>
        <w:pStyle w:val="ListParagraph"/>
        <w:numPr>
          <w:ilvl w:val="0"/>
          <w:numId w:val="4"/>
        </w:numPr>
        <w:spacing w:after="40" w:before="40"/>
      </w:pPr>
      <w:r>
        <w:rPr>
          <w:rFonts w:ascii="Arial" w:cs="Arial" w:eastAsia="Arial" w:hAnsi="Arial"/>
          <w:sz w:val="22"/>
          <w:szCs w:val="22"/>
        </w:rPr>
        <w:t xml:space="preserve">SMART Criterion 3 test: Conduct 3–5 informal usability sessions. Present Royden or Angelyn with the decision tree flowchart or Excel pricing tool. Measure whether they can complete a quote without assistance. This is qualitative but essential.</w:t>
      </w:r>
    </w:p>
    <w:p>
      <w:pPr>
        <w:pStyle w:val="Heading3"/>
        <w:spacing w:after="80" w:before="200"/>
      </w:pPr>
      <w:r>
        <w:rPr>
          <w:rFonts w:ascii="Arial" w:cs="Arial" w:eastAsia="Arial" w:hAnsi="Arial"/>
          <w:b/>
          <w:bCs/>
          <w:color w:val="1F3864"/>
          <w:sz w:val="22"/>
          <w:szCs w:val="22"/>
        </w:rPr>
        <w:t xml:space="preserve">Step 4.3 — Residual Diagnostics</w:t>
      </w:r>
    </w:p>
    <w:p>
      <w:pPr>
        <w:pStyle w:val="ListParagraph"/>
        <w:numPr>
          <w:ilvl w:val="0"/>
          <w:numId w:val="4"/>
        </w:numPr>
        <w:spacing w:after="40" w:before="40"/>
      </w:pPr>
      <w:r>
        <w:rPr>
          <w:rFonts w:ascii="Arial" w:cs="Arial" w:eastAsia="Arial" w:hAnsi="Arial"/>
          <w:sz w:val="22"/>
          <w:szCs w:val="22"/>
        </w:rPr>
        <w:t xml:space="preserve">Plot residuals (predicted minus actual) vs. predicted price: look for systematic over-pricing on large jobs or under-pricing on certain door types.</w:t>
      </w:r>
    </w:p>
    <w:p>
      <w:pPr>
        <w:pStyle w:val="ListParagraph"/>
        <w:numPr>
          <w:ilvl w:val="0"/>
          <w:numId w:val="4"/>
        </w:numPr>
        <w:spacing w:after="40" w:before="40"/>
      </w:pPr>
      <w:r>
        <w:rPr>
          <w:rFonts w:ascii="Arial" w:cs="Arial" w:eastAsia="Arial" w:hAnsi="Arial"/>
          <w:sz w:val="22"/>
          <w:szCs w:val="22"/>
        </w:rPr>
        <w:t xml:space="preserve">Plot residuals by customer_tier: if loyalty customers are systematically under-priced by the model, the discount structure needs to be explicitly modeled rather than left to the error term.</w:t>
      </w:r>
    </w:p>
    <w:p>
      <w:pPr>
        <w:pStyle w:val="ListParagraph"/>
        <w:numPr>
          <w:ilvl w:val="0"/>
          <w:numId w:val="4"/>
        </w:numPr>
        <w:spacing w:after="40" w:before="40"/>
      </w:pPr>
      <w:r>
        <w:rPr>
          <w:rFonts w:ascii="Arial" w:cs="Arial" w:eastAsia="Arial" w:hAnsi="Arial"/>
          <w:sz w:val="22"/>
          <w:szCs w:val="22"/>
        </w:rPr>
        <w:t xml:space="preserve">Plot residuals by year: if older records produce larger residuals, confirm the date-filtering decision from Phase 1.</w:t>
      </w:r>
    </w:p>
    <w:p>
      <w:pPr>
        <w:spacing w:after="160" w:before="0"/>
      </w:pPr>
      <w:r>
        <w:rPr>
          <w:sz w:val="22"/>
          <w:szCs w:val="22"/>
        </w:rPr>
        <w:t xml:space="preserve"/>
      </w:r>
    </w:p>
    <w:p>
      <w:pPr>
        <w:pStyle w:val="Heading2"/>
        <w:spacing w:after="100" w:before="280"/>
      </w:pPr>
      <w:r>
        <w:rPr>
          <w:rFonts w:ascii="Arial" w:cs="Arial" w:eastAsia="Arial" w:hAnsi="Arial"/>
          <w:b/>
          <w:bCs/>
          <w:color w:val="1A7A5E"/>
          <w:sz w:val="26"/>
          <w:szCs w:val="26"/>
        </w:rPr>
        <w:t xml:space="preserve">Phase 5: Deliverable &amp; Handoff</w:t>
      </w:r>
    </w:p>
    <w:p>
      <w:pPr>
        <w:spacing w:after="60" w:before="60"/>
      </w:pPr>
      <w:r>
        <w:rPr>
          <w:rFonts w:ascii="Arial" w:cs="Arial" w:eastAsia="Arial" w:hAnsi="Arial"/>
          <w:b w:val="false"/>
          <w:bCs w:val="false"/>
          <w:color w:val="111111"/>
          <w:sz w:val="22"/>
          <w:szCs w:val="22"/>
        </w:rPr>
        <w:t xml:space="preserve">The final deliverable is not just a model — it is a usable pricing tool for Royden Kornelsen. Plan for the following outputs:</w:t>
      </w:r>
    </w:p>
    <w:p>
      <w:pPr>
        <w:pStyle w:val="ListParagraph"/>
        <w:numPr>
          <w:ilvl w:val="0"/>
          <w:numId w:val="5"/>
        </w:numPr>
        <w:spacing w:after="60" w:before="60"/>
      </w:pPr>
      <w:r>
        <w:rPr>
          <w:rFonts w:ascii="Arial" w:cs="Arial" w:eastAsia="Arial" w:hAnsi="Arial"/>
          <w:sz w:val="22"/>
          <w:szCs w:val="22"/>
        </w:rPr>
        <w:t xml:space="preserve">Pricing formula document: A one-page PDF showing the Ridge Regression equation with plain-English explanations of each coefficient (e.g., 'For every additional hour of labor, add $38.50 to the quote').</w:t>
      </w:r>
    </w:p>
    <w:p>
      <w:pPr>
        <w:pStyle w:val="ListParagraph"/>
        <w:numPr>
          <w:ilvl w:val="0"/>
          <w:numId w:val="5"/>
        </w:numPr>
        <w:spacing w:after="60" w:before="60"/>
      </w:pPr>
      <w:r>
        <w:rPr>
          <w:rFonts w:ascii="Arial" w:cs="Arial" w:eastAsia="Arial" w:hAnsi="Arial"/>
          <w:sz w:val="22"/>
          <w:szCs w:val="22"/>
        </w:rPr>
        <w:t xml:space="preserve">Decision tree flowchart: A printed, laminated pricing flowchart derived from the Decision Tree model. Can be posted in the office or shared with employees.</w:t>
      </w:r>
    </w:p>
    <w:p>
      <w:pPr>
        <w:pStyle w:val="ListParagraph"/>
        <w:numPr>
          <w:ilvl w:val="0"/>
          <w:numId w:val="5"/>
        </w:numPr>
        <w:spacing w:after="60" w:before="60"/>
      </w:pPr>
      <w:r>
        <w:rPr>
          <w:rFonts w:ascii="Arial" w:cs="Arial" w:eastAsia="Arial" w:hAnsi="Arial"/>
          <w:sz w:val="22"/>
          <w:szCs w:val="22"/>
        </w:rPr>
        <w:t xml:space="preserve">Excel/Google Sheets pricing calculator: A simple input form where Royden enters door type, size, materials, labor hours, travel distance, and customer tier — and the formula auto-calculates the recommended price.</w:t>
      </w:r>
    </w:p>
    <w:p>
      <w:pPr>
        <w:pStyle w:val="ListParagraph"/>
        <w:numPr>
          <w:ilvl w:val="0"/>
          <w:numId w:val="5"/>
        </w:numPr>
        <w:spacing w:after="60" w:before="60"/>
      </w:pPr>
      <w:r>
        <w:rPr>
          <w:rFonts w:ascii="Arial" w:cs="Arial" w:eastAsia="Arial" w:hAnsi="Arial"/>
          <w:sz w:val="22"/>
          <w:szCs w:val="22"/>
        </w:rPr>
        <w:t xml:space="preserve">Final report: This document, extended with actual results, model comparison table, and key business insights (e.g., 'Travel distance is not currently being priced in — we recommend adding $X per km over 20 km').</w:t>
      </w:r>
    </w:p>
    <w:p>
      <w:pPr>
        <w:pStyle w:val="ListParagraph"/>
        <w:numPr>
          <w:ilvl w:val="0"/>
          <w:numId w:val="5"/>
        </w:numPr>
        <w:spacing w:after="60" w:before="60"/>
      </w:pPr>
      <w:r>
        <w:rPr>
          <w:rFonts w:ascii="Arial" w:cs="Arial" w:eastAsia="Arial" w:hAnsi="Arial"/>
          <w:sz w:val="22"/>
          <w:szCs w:val="22"/>
        </w:rPr>
        <w:t xml:space="preserve">Reproducible codebase: All notebooks committed to a GitHub repository with a README and requirements.txt.</w:t>
      </w:r>
    </w:p>
    <w:p>
      <w:pPr>
        <w:spacing w:after="160" w:before="0"/>
      </w:pPr>
      <w:r>
        <w:rPr>
          <w:sz w:val="22"/>
          <w:szCs w:val="22"/>
        </w:rPr>
        <w:t xml:space="preserve"/>
      </w:r>
    </w:p>
    <w:p>
      <w:r>
        <w:br w:type="page"/>
      </w:r>
    </w:p>
    <w:p>
      <w:pPr>
        <w:pStyle w:val="Heading1"/>
        <w:pBdr>
          <w:bottom w:val="single" w:color="1A7A5E" w:sz="10" w:space="4"/>
        </w:pBdr>
        <w:spacing w:after="160" w:before="400"/>
      </w:pPr>
      <w:r>
        <w:rPr>
          <w:rFonts w:ascii="Arial" w:cs="Arial" w:eastAsia="Arial" w:hAnsi="Arial"/>
          <w:b/>
          <w:bCs/>
          <w:color w:val="1F3864"/>
          <w:sz w:val="34"/>
          <w:szCs w:val="34"/>
        </w:rPr>
        <w:t xml:space="preserve">Section 2: Project Requirements List</w:t>
      </w:r>
    </w:p>
    <w:p>
      <w:pPr>
        <w:spacing w:after="60" w:before="60"/>
      </w:pPr>
      <w:r>
        <w:rPr>
          <w:rFonts w:ascii="Arial" w:cs="Arial" w:eastAsia="Arial" w:hAnsi="Arial"/>
          <w:b w:val="false"/>
          <w:bCs w:val="false"/>
          <w:color w:val="111111"/>
          <w:sz w:val="22"/>
          <w:szCs w:val="22"/>
        </w:rPr>
        <w:t xml:space="preserve">This section defines everything needed to execute the procedure above — hardware, software, libraries, data, and computational infrastructure — calibrated to the specific constraints of this project.</w:t>
      </w:r>
    </w:p>
    <w:p>
      <w:pPr>
        <w:pStyle w:val="Heading2"/>
        <w:spacing w:after="100" w:before="280"/>
      </w:pPr>
      <w:r>
        <w:rPr>
          <w:rFonts w:ascii="Arial" w:cs="Arial" w:eastAsia="Arial" w:hAnsi="Arial"/>
          <w:b/>
          <w:bCs/>
          <w:color w:val="1A7A5E"/>
          <w:sz w:val="26"/>
          <w:szCs w:val="26"/>
        </w:rPr>
        <w:t xml:space="preserve">2.1 Hardware Requirements</w:t>
      </w:r>
    </w:p>
    <w:p>
      <w:pPr>
        <w:spacing w:after="60" w:before="60"/>
      </w:pPr>
      <w:r>
        <w:rPr>
          <w:rFonts w:ascii="Arial" w:cs="Arial" w:eastAsia="Arial" w:hAnsi="Arial"/>
          <w:b w:val="false"/>
          <w:bCs w:val="false"/>
          <w:color w:val="111111"/>
          <w:sz w:val="22"/>
          <w:szCs w:val="22"/>
        </w:rPr>
        <w:t xml:space="preserve">This project works comfortably on standard consumer hardware. No GPU or cloud compute is required for the primary modeling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358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Minimum</w:t>
            </w:r>
          </w:p>
        </w:tc>
        <w:tc>
          <w:tcPr>
            <w:tcW w:type="dxa" w:w="358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CPU</w:t>
            </w:r>
          </w:p>
        </w:tc>
        <w:tc>
          <w:tcPr>
            <w:tcW w:type="dxa" w:w="35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Dual-core 2.0 GHz</w:t>
            </w:r>
          </w:p>
        </w:tc>
        <w:tc>
          <w:tcPr>
            <w:tcW w:type="dxa" w:w="35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Quad-core 2.5 GHz+ (e.g., Intel i5/i7 or M-series Mac)</w:t>
            </w:r>
          </w:p>
        </w:tc>
      </w:tr>
      <w:tr>
        <w:tc>
          <w:tcPr>
            <w:tcW w:type="dxa" w:w="22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RAM</w:t>
            </w:r>
          </w:p>
        </w:tc>
        <w:tc>
          <w:tcPr>
            <w:tcW w:type="dxa" w:w="358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8 GB</w:t>
            </w:r>
          </w:p>
        </w:tc>
        <w:tc>
          <w:tcPr>
            <w:tcW w:type="dxa" w:w="358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16 GB (comfortable for pandas with 500-row dataset)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GPU</w:t>
            </w:r>
          </w:p>
        </w:tc>
        <w:tc>
          <w:tcPr>
            <w:tcW w:type="dxa" w:w="35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Not required</w:t>
            </w:r>
          </w:p>
        </w:tc>
        <w:tc>
          <w:tcPr>
            <w:tcW w:type="dxa" w:w="35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Not required (dataset too small to benefit from GPU)</w:t>
            </w:r>
          </w:p>
        </w:tc>
      </w:tr>
      <w:tr>
        <w:tc>
          <w:tcPr>
            <w:tcW w:type="dxa" w:w="22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Storage</w:t>
            </w:r>
          </w:p>
        </w:tc>
        <w:tc>
          <w:tcPr>
            <w:tcW w:type="dxa" w:w="358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5 GB free</w:t>
            </w:r>
          </w:p>
        </w:tc>
        <w:tc>
          <w:tcPr>
            <w:tcW w:type="dxa" w:w="358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20 GB free (for Python environment, notebooks, exports)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Internet</w:t>
            </w:r>
          </w:p>
        </w:tc>
        <w:tc>
          <w:tcPr>
            <w:tcW w:type="dxa" w:w="35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Required</w:t>
            </w:r>
          </w:p>
        </w:tc>
        <w:tc>
          <w:tcPr>
            <w:tcW w:type="dxa" w:w="35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Stable broadband for QuickBooks export, package install</w:t>
            </w:r>
          </w:p>
        </w:tc>
      </w:tr>
    </w:tbl>
    <w:p>
      <w:pPr>
        <w:spacing w:after="160" w:before="0"/>
      </w:pPr>
      <w:r>
        <w:rPr>
          <w:sz w:val="22"/>
          <w:szCs w:val="22"/>
        </w:rPr>
        <w:t xml:space="preserve"/>
      </w:r>
    </w:p>
    <w:p>
      <w:pPr>
        <w:pStyle w:val="Heading2"/>
        <w:spacing w:after="100" w:before="280"/>
      </w:pPr>
      <w:r>
        <w:rPr>
          <w:rFonts w:ascii="Arial" w:cs="Arial" w:eastAsia="Arial" w:hAnsi="Arial"/>
          <w:b/>
          <w:bCs/>
          <w:color w:val="1A7A5E"/>
          <w:sz w:val="26"/>
          <w:szCs w:val="26"/>
        </w:rPr>
        <w:t xml:space="preserve">2.2 Software &amp; Environment</w:t>
      </w:r>
    </w:p>
    <w:p>
      <w:pPr>
        <w:pStyle w:val="ListParagraph"/>
        <w:numPr>
          <w:ilvl w:val="0"/>
          <w:numId w:val="4"/>
        </w:numPr>
        <w:spacing w:after="40" w:before="40"/>
      </w:pPr>
      <w:r>
        <w:rPr>
          <w:rFonts w:ascii="Arial" w:cs="Arial" w:eastAsia="Arial" w:hAnsi="Arial"/>
          <w:sz w:val="22"/>
          <w:szCs w:val="22"/>
        </w:rPr>
        <w:t xml:space="preserve">Python: version 3.10 or 3.11, managed via Miniconda (conda create -n kornelsen python=3.11).</w:t>
      </w:r>
    </w:p>
    <w:p>
      <w:pPr>
        <w:pStyle w:val="ListParagraph"/>
        <w:numPr>
          <w:ilvl w:val="0"/>
          <w:numId w:val="4"/>
        </w:numPr>
        <w:spacing w:after="40" w:before="40"/>
      </w:pPr>
      <w:r>
        <w:rPr>
          <w:rFonts w:ascii="Arial" w:cs="Arial" w:eastAsia="Arial" w:hAnsi="Arial"/>
          <w:sz w:val="22"/>
          <w:szCs w:val="22"/>
        </w:rPr>
        <w:t xml:space="preserve">JupyterLab 4.x: primary development environment for all notebooks.</w:t>
      </w:r>
    </w:p>
    <w:p>
      <w:pPr>
        <w:pStyle w:val="ListParagraph"/>
        <w:numPr>
          <w:ilvl w:val="0"/>
          <w:numId w:val="4"/>
        </w:numPr>
        <w:spacing w:after="40" w:before="40"/>
      </w:pPr>
      <w:r>
        <w:rPr>
          <w:rFonts w:ascii="Arial" w:cs="Arial" w:eastAsia="Arial" w:hAnsi="Arial"/>
          <w:sz w:val="22"/>
          <w:szCs w:val="22"/>
        </w:rPr>
        <w:t xml:space="preserve">VS Code (optional): for writing helper scripts and the Excel pricing tool.</w:t>
      </w:r>
    </w:p>
    <w:p>
      <w:pPr>
        <w:pStyle w:val="ListParagraph"/>
        <w:numPr>
          <w:ilvl w:val="0"/>
          <w:numId w:val="4"/>
        </w:numPr>
        <w:spacing w:after="40" w:before="40"/>
      </w:pPr>
      <w:r>
        <w:rPr>
          <w:rFonts w:ascii="Arial" w:cs="Arial" w:eastAsia="Arial" w:hAnsi="Arial"/>
          <w:sz w:val="22"/>
          <w:szCs w:val="22"/>
        </w:rPr>
        <w:t xml:space="preserve">Git + GitHub: mandatory for version control and reproducibility. Initialize the repo at project start and commit after each milestone.</w:t>
      </w:r>
    </w:p>
    <w:p>
      <w:pPr>
        <w:pStyle w:val="ListParagraph"/>
        <w:numPr>
          <w:ilvl w:val="0"/>
          <w:numId w:val="4"/>
        </w:numPr>
        <w:spacing w:after="40" w:before="40"/>
      </w:pPr>
      <w:r>
        <w:rPr>
          <w:rFonts w:ascii="Arial" w:cs="Arial" w:eastAsia="Arial" w:hAnsi="Arial"/>
          <w:sz w:val="22"/>
          <w:szCs w:val="22"/>
        </w:rPr>
        <w:t xml:space="preserve">Microsoft Excel or Google Sheets: for the final pricing calculator deliverable Royden will use daily.</w:t>
      </w:r>
    </w:p>
    <w:p>
      <w:pPr>
        <w:pStyle w:val="ListParagraph"/>
        <w:numPr>
          <w:ilvl w:val="0"/>
          <w:numId w:val="4"/>
        </w:numPr>
        <w:spacing w:after="40" w:before="40"/>
      </w:pPr>
      <w:r>
        <w:rPr>
          <w:rFonts w:ascii="Arial" w:cs="Arial" w:eastAsia="Arial" w:hAnsi="Arial"/>
          <w:sz w:val="22"/>
          <w:szCs w:val="22"/>
        </w:rPr>
        <w:t xml:space="preserve">QuickBooks Online: already in use. Export data via Reports &gt; Custom Reports &gt; Invoice Details.</w:t>
      </w:r>
    </w:p>
    <w:p>
      <w:pPr>
        <w:spacing w:after="160" w:before="0"/>
      </w:pPr>
      <w:r>
        <w:rPr>
          <w:sz w:val="22"/>
          <w:szCs w:val="22"/>
        </w:rPr>
        <w:t xml:space="preserve"/>
      </w:r>
    </w:p>
    <w:p>
      <w:pPr>
        <w:pStyle w:val="Heading2"/>
        <w:spacing w:after="100" w:before="280"/>
      </w:pPr>
      <w:r>
        <w:rPr>
          <w:rFonts w:ascii="Arial" w:cs="Arial" w:eastAsia="Arial" w:hAnsi="Arial"/>
          <w:b/>
          <w:bCs/>
          <w:color w:val="1A7A5E"/>
          <w:sz w:val="26"/>
          <w:szCs w:val="26"/>
        </w:rPr>
        <w:t xml:space="preserve">2.3 Python Libraries</w:t>
      </w:r>
    </w:p>
    <w:p>
      <w:pPr>
        <w:spacing w:after="60" w:before="60"/>
      </w:pPr>
      <w:r>
        <w:rPr>
          <w:rFonts w:ascii="Arial" w:cs="Arial" w:eastAsia="Arial" w:hAnsi="Arial"/>
          <w:b w:val="false"/>
          <w:bCs w:val="false"/>
          <w:color w:val="111111"/>
          <w:sz w:val="22"/>
          <w:szCs w:val="22"/>
        </w:rPr>
        <w:t xml:space="preserve">All libraries below are installable via pip install -r requirements.txt. The list is intentionally lean — this is a small-data project and heavy frameworks like PyTorch are not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28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Library</w:t>
            </w:r>
          </w:p>
        </w:tc>
        <w:tc>
          <w:tcPr>
            <w:tcW w:type="dxa" w:w="436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 in This Project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Data &amp; I/O</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pandas &gt;= 2.0</w:t>
            </w:r>
          </w:p>
        </w:tc>
        <w:tc>
          <w:tcPr>
            <w:tcW w:type="dxa" w:w="4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Load QuickBooks CSV, clean, engineer features, reshape</w:t>
            </w:r>
          </w:p>
        </w:tc>
      </w:tr>
      <w:tr>
        <w:tc>
          <w:tcPr>
            <w:tcW w:type="dxa" w:w="22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
            </w:r>
          </w:p>
        </w:tc>
        <w:tc>
          <w:tcPr>
            <w:tcW w:type="dxa" w:w="28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numpy &gt;= 1.24</w:t>
            </w:r>
          </w:p>
        </w:tc>
        <w:tc>
          <w:tcPr>
            <w:tcW w:type="dxa" w:w="436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Numerical ops, array handling, CPI adjustment arithmetic</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openpyxl &gt;= 3.1</w:t>
            </w:r>
          </w:p>
        </w:tc>
        <w:tc>
          <w:tcPr>
            <w:tcW w:type="dxa" w:w="4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Read/write .xlsx for QuickBooks exports and pricing calculator output</w:t>
            </w:r>
          </w:p>
        </w:tc>
      </w:tr>
      <w:tr>
        <w:tc>
          <w:tcPr>
            <w:tcW w:type="dxa" w:w="22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Visualization</w:t>
            </w:r>
          </w:p>
        </w:tc>
        <w:tc>
          <w:tcPr>
            <w:tcW w:type="dxa" w:w="28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matplotlib &gt;= 3.7</w:t>
            </w:r>
          </w:p>
        </w:tc>
        <w:tc>
          <w:tcPr>
            <w:tcW w:type="dxa" w:w="436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Base plotting: histograms, residual plots, decision tree rendering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seaborn &gt;= 0.13</w:t>
            </w:r>
          </w:p>
        </w:tc>
        <w:tc>
          <w:tcPr>
            <w:tcW w:type="dxa" w:w="4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Heatmaps, box plots, scatter plots, correlation matrix</w:t>
            </w:r>
          </w:p>
        </w:tc>
      </w:tr>
      <w:tr>
        <w:tc>
          <w:tcPr>
            <w:tcW w:type="dxa" w:w="22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
            </w:r>
          </w:p>
        </w:tc>
        <w:tc>
          <w:tcPr>
            <w:tcW w:type="dxa" w:w="28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missingno &gt;= 0.5</w:t>
            </w:r>
          </w:p>
        </w:tc>
        <w:tc>
          <w:tcPr>
            <w:tcW w:type="dxa" w:w="436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Missing value audit heatmap</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dtreeviz &gt;= 2.2</w:t>
            </w:r>
          </w:p>
        </w:tc>
        <w:tc>
          <w:tcPr>
            <w:tcW w:type="dxa" w:w="4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Beautiful, annotated decision tree visualizations for the pricing flowchart</w:t>
            </w:r>
          </w:p>
        </w:tc>
      </w:tr>
      <w:tr>
        <w:tc>
          <w:tcPr>
            <w:tcW w:type="dxa" w:w="22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Machine Learning</w:t>
            </w:r>
          </w:p>
        </w:tc>
        <w:tc>
          <w:tcPr>
            <w:tcW w:type="dxa" w:w="28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scikit-learn &gt;= 1.3</w:t>
            </w:r>
          </w:p>
        </w:tc>
        <w:tc>
          <w:tcPr>
            <w:tcW w:type="dxa" w:w="436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RidgeCV, Lasso, DecisionTreeRegressor, pipelines, cross-validation, VIF</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xgboost &gt;= 2.0</w:t>
            </w:r>
          </w:p>
        </w:tc>
        <w:tc>
          <w:tcPr>
            <w:tcW w:type="dxa" w:w="4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Gradient boosting comparison model</w:t>
            </w:r>
          </w:p>
        </w:tc>
      </w:tr>
      <w:tr>
        <w:tc>
          <w:tcPr>
            <w:tcW w:type="dxa" w:w="22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
            </w:r>
          </w:p>
        </w:tc>
        <w:tc>
          <w:tcPr>
            <w:tcW w:type="dxa" w:w="28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lightgbm &gt;= 4.0</w:t>
            </w:r>
          </w:p>
        </w:tc>
        <w:tc>
          <w:tcPr>
            <w:tcW w:type="dxa" w:w="436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Alternative gradient booster (faster on small data)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Explainability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shap &gt;= 0.44</w:t>
            </w:r>
          </w:p>
        </w:tc>
        <w:tc>
          <w:tcPr>
            <w:tcW w:type="dxa" w:w="4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SHAP values for XGBoost feature importance; dependence plots</w:t>
            </w:r>
          </w:p>
        </w:tc>
      </w:tr>
      <w:tr>
        <w:tc>
          <w:tcPr>
            <w:tcW w:type="dxa" w:w="22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Tuning</w:t>
            </w:r>
          </w:p>
        </w:tc>
        <w:tc>
          <w:tcPr>
            <w:tcW w:type="dxa" w:w="28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optuna &gt;= 3.0</w:t>
            </w:r>
          </w:p>
        </w:tc>
        <w:tc>
          <w:tcPr>
            <w:tcW w:type="dxa" w:w="436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Bayesian hyperparameter search for XGBoost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Stats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statsmodels &gt;= 0.14</w:t>
            </w:r>
          </w:p>
        </w:tc>
        <w:tc>
          <w:tcPr>
            <w:tcW w:type="dxa" w:w="4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OLS regression, VIF computation, residual diagnostics</w:t>
            </w:r>
          </w:p>
        </w:tc>
      </w:tr>
      <w:tr>
        <w:tc>
          <w:tcPr>
            <w:tcW w:type="dxa" w:w="22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Utilities</w:t>
            </w:r>
          </w:p>
        </w:tc>
        <w:tc>
          <w:tcPr>
            <w:tcW w:type="dxa" w:w="28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python-dotenv, tqdm</w:t>
            </w:r>
          </w:p>
        </w:tc>
        <w:tc>
          <w:tcPr>
            <w:tcW w:type="dxa" w:w="436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Environment config, progress bars</w:t>
            </w:r>
          </w:p>
        </w:tc>
      </w:tr>
    </w:tbl>
    <w:p>
      <w:pPr>
        <w:spacing w:after="160" w:before="0"/>
      </w:pPr>
      <w:r>
        <w:rPr>
          <w:sz w:val="22"/>
          <w:szCs w:val="22"/>
        </w:rPr>
        <w:t xml:space="preserve"/>
      </w:r>
    </w:p>
    <w:p>
      <w:pPr>
        <w:spacing w:after="60" w:before="60"/>
      </w:pPr>
      <w:r>
        <w:rPr>
          <w:rFonts w:ascii="Arial" w:cs="Arial" w:eastAsia="Arial" w:hAnsi="Arial"/>
          <w:b w:val="false"/>
          <w:bCs w:val="false"/>
          <w:color w:val="111111"/>
          <w:sz w:val="22"/>
          <w:szCs w:val="22"/>
        </w:rPr>
        <w:t xml:space="preserve">Install all at once with:</w:t>
      </w:r>
    </w:p>
    <w:p>
      <w:pPr>
        <w:pBdr>
          <w:left w:val="single" w:color="1A7A5E" w:sz="6" w:space="8"/>
        </w:pBdr>
        <w:shd w:fill="F2F2F2" w:val="clear"/>
        <w:spacing w:after="80" w:before="80"/>
        <w:ind w:left="360"/>
      </w:pPr>
      <w:r>
        <w:rPr>
          <w:rFonts w:ascii="Courier New" w:cs="Courier New" w:eastAsia="Courier New" w:hAnsi="Courier New"/>
          <w:color w:val="1A1A1A"/>
          <w:sz w:val="19"/>
          <w:szCs w:val="19"/>
        </w:rPr>
        <w:t xml:space="preserve">pip install pandas numpy openpyxl matplotlib seaborn missingno dtreeviz scikit-learn xgboost lightgbm shap optuna statsmodels python-dotenv tqdm</w:t>
      </w:r>
    </w:p>
    <w:p>
      <w:pPr>
        <w:spacing w:after="160" w:before="0"/>
      </w:pPr>
      <w:r>
        <w:rPr>
          <w:sz w:val="22"/>
          <w:szCs w:val="22"/>
        </w:rPr>
        <w:t xml:space="preserve"/>
      </w:r>
    </w:p>
    <w:p>
      <w:pPr>
        <w:pStyle w:val="Heading2"/>
        <w:spacing w:after="100" w:before="280"/>
      </w:pPr>
      <w:r>
        <w:rPr>
          <w:rFonts w:ascii="Arial" w:cs="Arial" w:eastAsia="Arial" w:hAnsi="Arial"/>
          <w:b/>
          <w:bCs/>
          <w:color w:val="1A7A5E"/>
          <w:sz w:val="26"/>
          <w:szCs w:val="26"/>
        </w:rPr>
        <w:t xml:space="preserve">2.4 Data Sources</w:t>
      </w:r>
    </w:p>
    <w:p>
      <w:pPr>
        <w:spacing w:after="60" w:before="60"/>
      </w:pPr>
      <w:r>
        <w:rPr>
          <w:rFonts w:ascii="Arial" w:cs="Arial" w:eastAsia="Arial" w:hAnsi="Arial"/>
          <w:b w:val="false"/>
          <w:bCs w:val="false"/>
          <w:color w:val="111111"/>
          <w:sz w:val="22"/>
          <w:szCs w:val="22"/>
        </w:rPr>
        <w:t xml:space="preserve">Your primary data source is already secured. This section documents it fully and adds supplemental sources that will strengthen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Source</w:t>
            </w:r>
          </w:p>
        </w:tc>
        <w:tc>
          <w:tcPr>
            <w:tcW w:type="dxa" w:w="34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356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 / Access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QuickBooks Online (Primary)</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~500 invoices from Kornelsen Solutions Inc. — invoice totals, line items, dates, customer info, job details</w:t>
            </w:r>
          </w:p>
        </w:tc>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Secured. Export via Reports &gt; Invoice Details CSV. Remove PII before use.</w:t>
            </w:r>
          </w:p>
        </w:tc>
      </w:tr>
      <w:tr>
        <w:tc>
          <w:tcPr>
            <w:tcW w:type="dxa" w:w="24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U.S. BLS CPI Index (Supplemental)</w:t>
            </w:r>
          </w:p>
        </w:tc>
        <w:tc>
          <w:tcPr>
            <w:tcW w:type="dxa" w:w="34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Consumer Price Index for inflation adjustment of historical prices</w:t>
            </w:r>
          </w:p>
        </w:tc>
        <w:tc>
          <w:tcPr>
            <w:tcW w:type="dxa" w:w="356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Free. Download from data.bls.gov — use 'All Urban Consumers' CPI table.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Google Maps Distance Matrix API (Supplemental)</w:t>
            </w:r>
          </w:p>
        </w:tc>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Compute travel distance in km from business base to customer zones</w:t>
            </w:r>
          </w:p>
        </w:tc>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Free tier available. Use only if raw distance is not in QuickBooks data.</w:t>
            </w:r>
          </w:p>
        </w:tc>
      </w:tr>
      <w:tr>
        <w:tc>
          <w:tcPr>
            <w:tcW w:type="dxa" w:w="24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RS Means Construction Cost Data (Optional)</w:t>
            </w:r>
          </w:p>
        </w:tc>
        <w:tc>
          <w:tcPr>
            <w:tcW w:type="dxa" w:w="34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Industry benchmarks for door installation material and labor costs</w:t>
            </w:r>
          </w:p>
        </w:tc>
        <w:tc>
          <w:tcPr>
            <w:tcW w:type="dxa" w:w="356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Paid subscription OR free partial data via local library. Used to validate materials cost assumptions.</w:t>
            </w:r>
          </w:p>
        </w:tc>
      </w:tr>
    </w:tbl>
    <w:p>
      <w:pPr>
        <w:spacing w:after="160" w:before="0"/>
      </w:pPr>
      <w:r>
        <w:rPr>
          <w:sz w:val="22"/>
          <w:szCs w:val="22"/>
        </w:rPr>
        <w:t xml:space="preserve"/>
      </w:r>
    </w:p>
    <w:p>
      <w:pPr>
        <w:pBdr>
          <w:left w:val="single" w:color="1A7A5E" w:sz="14" w:space="8"/>
        </w:pBdr>
        <w:spacing w:after="80" w:before="80"/>
        <w:ind w:left="360"/>
      </w:pPr>
      <w:r>
        <w:rPr>
          <w:rFonts w:ascii="Arial" w:cs="Arial" w:eastAsia="Arial" w:hAnsi="Arial"/>
          <w:color w:val="1F3864"/>
          <w:sz w:val="21"/>
          <w:szCs w:val="21"/>
        </w:rPr>
        <w:t xml:space="preserve">Data Risk Note: Flag and separately analyze invoices older than 3-5 years. Kornelsen Solutions Inc. has been operating for approximately 10 years, and early pricing may not reflect current material costs or labor rates due to inflation. Build both a full-history and a recent-history (2022–2026) model variant and compare their validation metrics before selecting a final model.</w:t>
      </w:r>
    </w:p>
    <w:p>
      <w:pPr>
        <w:spacing w:after="160" w:before="0"/>
      </w:pPr>
      <w:r>
        <w:rPr>
          <w:sz w:val="22"/>
          <w:szCs w:val="22"/>
        </w:rPr>
        <w:t xml:space="preserve"/>
      </w:r>
    </w:p>
    <w:p>
      <w:pPr>
        <w:pStyle w:val="Heading2"/>
        <w:spacing w:after="100" w:before="280"/>
      </w:pPr>
      <w:r>
        <w:rPr>
          <w:rFonts w:ascii="Arial" w:cs="Arial" w:eastAsia="Arial" w:hAnsi="Arial"/>
          <w:b/>
          <w:bCs/>
          <w:color w:val="1A7A5E"/>
          <w:sz w:val="26"/>
          <w:szCs w:val="26"/>
        </w:rPr>
        <w:t xml:space="preserve">2.5 Computational Needs</w:t>
      </w:r>
    </w:p>
    <w:p>
      <w:pPr>
        <w:spacing w:after="60" w:before="60"/>
      </w:pPr>
      <w:r>
        <w:rPr>
          <w:rFonts w:ascii="Arial" w:cs="Arial" w:eastAsia="Arial" w:hAnsi="Arial"/>
          <w:b w:val="false"/>
          <w:bCs w:val="false"/>
          <w:color w:val="111111"/>
          <w:sz w:val="22"/>
          <w:szCs w:val="22"/>
        </w:rPr>
        <w:t xml:space="preserve">This project is designed to run entirely on a standard laptop. No cloud GPU or distributed computing is required.</w:t>
      </w:r>
    </w:p>
    <w:p>
      <w:pPr>
        <w:pStyle w:val="Heading3"/>
        <w:spacing w:after="80" w:before="200"/>
      </w:pPr>
      <w:r>
        <w:rPr>
          <w:rFonts w:ascii="Arial" w:cs="Arial" w:eastAsia="Arial" w:hAnsi="Arial"/>
          <w:b/>
          <w:bCs/>
          <w:color w:val="1F3864"/>
          <w:sz w:val="22"/>
          <w:szCs w:val="22"/>
        </w:rPr>
        <w:t xml:space="preserve">Local Development (All You Need)</w:t>
      </w:r>
    </w:p>
    <w:p>
      <w:pPr>
        <w:pStyle w:val="ListParagraph"/>
        <w:numPr>
          <w:ilvl w:val="0"/>
          <w:numId w:val="4"/>
        </w:numPr>
        <w:spacing w:after="40" w:before="40"/>
      </w:pPr>
      <w:r>
        <w:rPr>
          <w:rFonts w:ascii="Arial" w:cs="Arial" w:eastAsia="Arial" w:hAnsi="Arial"/>
          <w:sz w:val="22"/>
          <w:szCs w:val="22"/>
        </w:rPr>
        <w:t xml:space="preserve">All modeling (Ridge, XGBoost, Decision Tree) on a 500-row dataset completes in under 60 seconds on any modern laptop.</w:t>
      </w:r>
    </w:p>
    <w:p>
      <w:pPr>
        <w:pStyle w:val="ListParagraph"/>
        <w:numPr>
          <w:ilvl w:val="0"/>
          <w:numId w:val="4"/>
        </w:numPr>
        <w:spacing w:after="40" w:before="40"/>
      </w:pPr>
      <w:r>
        <w:rPr>
          <w:rFonts w:ascii="Arial" w:cs="Arial" w:eastAsia="Arial" w:hAnsi="Arial"/>
          <w:sz w:val="22"/>
          <w:szCs w:val="22"/>
        </w:rPr>
        <w:t xml:space="preserve">Hyperparameter search with Optuna (100 trials on XGBoost) will take 2–5 minutes locally.</w:t>
      </w:r>
    </w:p>
    <w:p>
      <w:pPr>
        <w:pStyle w:val="ListParagraph"/>
        <w:numPr>
          <w:ilvl w:val="0"/>
          <w:numId w:val="4"/>
        </w:numPr>
        <w:spacing w:after="40" w:before="40"/>
      </w:pPr>
      <w:r>
        <w:rPr>
          <w:rFonts w:ascii="Arial" w:cs="Arial" w:eastAsia="Arial" w:hAnsi="Arial"/>
          <w:sz w:val="22"/>
          <w:szCs w:val="22"/>
        </w:rPr>
        <w:t xml:space="preserve">JupyterLab notebooks are the development environment. No Docker or containerization required for a project of this scope.</w:t>
      </w:r>
    </w:p>
    <w:p>
      <w:pPr>
        <w:pStyle w:val="Heading3"/>
        <w:spacing w:after="80" w:before="200"/>
      </w:pPr>
      <w:r>
        <w:rPr>
          <w:rFonts w:ascii="Arial" w:cs="Arial" w:eastAsia="Arial" w:hAnsi="Arial"/>
          <w:b/>
          <w:bCs/>
          <w:color w:val="1F3864"/>
          <w:sz w:val="22"/>
          <w:szCs w:val="22"/>
        </w:rPr>
        <w:t xml:space="preserve">Storage &amp; Backup</w:t>
      </w:r>
    </w:p>
    <w:p>
      <w:pPr>
        <w:pStyle w:val="ListParagraph"/>
        <w:numPr>
          <w:ilvl w:val="0"/>
          <w:numId w:val="4"/>
        </w:numPr>
        <w:spacing w:after="40" w:before="40"/>
      </w:pPr>
      <w:r>
        <w:rPr>
          <w:rFonts w:ascii="Arial" w:cs="Arial" w:eastAsia="Arial" w:hAnsi="Arial"/>
          <w:sz w:val="22"/>
          <w:szCs w:val="22"/>
        </w:rPr>
        <w:t xml:space="preserve">Store the project on a local drive AND back up to GitHub (private repository). Since this involves real business data, the GitHub repo must be set to private.</w:t>
      </w:r>
    </w:p>
    <w:p>
      <w:pPr>
        <w:pStyle w:val="ListParagraph"/>
        <w:numPr>
          <w:ilvl w:val="0"/>
          <w:numId w:val="4"/>
        </w:numPr>
        <w:spacing w:after="40" w:before="40"/>
      </w:pPr>
      <w:r>
        <w:rPr>
          <w:rFonts w:ascii="Arial" w:cs="Arial" w:eastAsia="Arial" w:hAnsi="Arial"/>
          <w:sz w:val="22"/>
          <w:szCs w:val="22"/>
        </w:rPr>
        <w:t xml:space="preserve">Raw QuickBooks exports (with PII removed) should also be backed up to a personal cloud drive (Google Drive or OneDrive) accessible to both team members.</w:t>
      </w:r>
    </w:p>
    <w:p>
      <w:pPr>
        <w:pStyle w:val="ListParagraph"/>
        <w:numPr>
          <w:ilvl w:val="0"/>
          <w:numId w:val="4"/>
        </w:numPr>
        <w:spacing w:after="40" w:before="40"/>
      </w:pPr>
      <w:r>
        <w:rPr>
          <w:rFonts w:ascii="Arial" w:cs="Arial" w:eastAsia="Arial" w:hAnsi="Arial"/>
          <w:sz w:val="22"/>
          <w:szCs w:val="22"/>
        </w:rPr>
        <w:t xml:space="preserve">All model artifacts (trained .pkl files) should be saved to /models/ with version tags.</w:t>
      </w:r>
    </w:p>
    <w:p>
      <w:pPr>
        <w:pStyle w:val="Heading3"/>
        <w:spacing w:after="80" w:before="200"/>
      </w:pPr>
      <w:r>
        <w:rPr>
          <w:rFonts w:ascii="Arial" w:cs="Arial" w:eastAsia="Arial" w:hAnsi="Arial"/>
          <w:b/>
          <w:bCs/>
          <w:color w:val="1F3864"/>
          <w:sz w:val="22"/>
          <w:szCs w:val="22"/>
        </w:rPr>
        <w:t xml:space="preserve">Experiment Tracking (Lightweight)</w:t>
      </w:r>
    </w:p>
    <w:p>
      <w:pPr>
        <w:pStyle w:val="ListParagraph"/>
        <w:numPr>
          <w:ilvl w:val="0"/>
          <w:numId w:val="4"/>
        </w:numPr>
        <w:spacing w:after="40" w:before="40"/>
      </w:pPr>
      <w:r>
        <w:rPr>
          <w:rFonts w:ascii="Arial" w:cs="Arial" w:eastAsia="Arial" w:hAnsi="Arial"/>
          <w:sz w:val="22"/>
          <w:szCs w:val="22"/>
        </w:rPr>
        <w:t xml:space="preserve">Use MLflow Tracking (local mode, no server needed) to log hyperparameter runs, validation metrics, and model artifacts. Initialize with mlflow.set_experiment('kornelsen_pricing').</w:t>
      </w:r>
    </w:p>
    <w:p>
      <w:pPr>
        <w:pStyle w:val="ListParagraph"/>
        <w:numPr>
          <w:ilvl w:val="0"/>
          <w:numId w:val="4"/>
        </w:numPr>
        <w:spacing w:after="40" w:before="40"/>
      </w:pPr>
      <w:r>
        <w:rPr>
          <w:rFonts w:ascii="Arial" w:cs="Arial" w:eastAsia="Arial" w:hAnsi="Arial"/>
          <w:sz w:val="22"/>
          <w:szCs w:val="22"/>
        </w:rPr>
        <w:t xml:space="preserve">Alternatively, a simple results_log.csv maintained manually per run is sufficient for a project of this scale.</w:t>
      </w:r>
    </w:p>
    <w:p>
      <w:pPr>
        <w:spacing w:after="160" w:before="0"/>
      </w:pPr>
      <w:r>
        <w:rPr>
          <w:sz w:val="22"/>
          <w:szCs w:val="22"/>
        </w:rPr>
        <w:t xml:space="preserve"/>
      </w:r>
    </w:p>
    <w:p>
      <w:pPr>
        <w:pStyle w:val="Heading2"/>
        <w:spacing w:after="100" w:before="280"/>
      </w:pPr>
      <w:r>
        <w:rPr>
          <w:rFonts w:ascii="Arial" w:cs="Arial" w:eastAsia="Arial" w:hAnsi="Arial"/>
          <w:b/>
          <w:bCs/>
          <w:color w:val="1A7A5E"/>
          <w:sz w:val="26"/>
          <w:szCs w:val="26"/>
        </w:rPr>
        <w:t xml:space="preserve">2.6 Quick-Reference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676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Requirements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Hardware</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Standard laptop: 8–16 GB RAM, 20 GB free storage. No GPU needed.</w:t>
            </w:r>
          </w:p>
        </w:tc>
      </w:tr>
      <w:tr>
        <w:tc>
          <w:tcPr>
            <w:tcW w:type="dxa" w:w="26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Language</w:t>
            </w:r>
          </w:p>
        </w:tc>
        <w:tc>
          <w:tcPr>
            <w:tcW w:type="dxa" w:w="676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Python 3.10 / 3.11 via Miniconda. JupyterLab 4.x.</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Core Libraries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pandas, numpy, scikit-learn, xgboost, lightgbm, shap, statsmodels</w:t>
            </w:r>
          </w:p>
        </w:tc>
      </w:tr>
      <w:tr>
        <w:tc>
          <w:tcPr>
            <w:tcW w:type="dxa" w:w="26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Viz Libraries</w:t>
            </w:r>
          </w:p>
        </w:tc>
        <w:tc>
          <w:tcPr>
            <w:tcW w:type="dxa" w:w="676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matplotlib, seaborn, missingno, dtreeviz</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Tuning &amp; Tracking</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optuna (HPO), mlflow or results_log.csv (experiment tracking)</w:t>
            </w:r>
          </w:p>
        </w:tc>
      </w:tr>
      <w:tr>
        <w:tc>
          <w:tcPr>
            <w:tcW w:type="dxa" w:w="26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Primary Data</w:t>
            </w:r>
          </w:p>
        </w:tc>
        <w:tc>
          <w:tcPr>
            <w:tcW w:type="dxa" w:w="676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~500 QuickBooks invoices — secured, PII to be removed (Week 11 step)</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Supplemental Data</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BLS CPI index (inflation adjustment), Google Maps API (distance)</w:t>
            </w:r>
          </w:p>
        </w:tc>
      </w:tr>
      <w:tr>
        <w:tc>
          <w:tcPr>
            <w:tcW w:type="dxa" w:w="260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Version Control</w:t>
            </w:r>
          </w:p>
        </w:tc>
        <w:tc>
          <w:tcPr>
            <w:tcW w:type="dxa" w:w="6760"/>
            <w:tcBorders>
              <w:top w:val="single" w:color="AAAAAA" w:sz="1"/>
              <w:left w:val="single" w:color="AAAAAA" w:sz="1"/>
              <w:bottom w:val="single" w:color="AAAAAA" w:sz="1"/>
              <w:right w:val="single" w:color="AAAAAA" w:sz="1"/>
            </w:tcBorders>
            <w:shd w:fill="D5E8D4" w:val="clear"/>
            <w:tcMar>
              <w:top w:type="dxa" w:w="80"/>
              <w:left w:type="dxa" w:w="140"/>
              <w:bottom w:type="dxa" w:w="80"/>
              <w:right w:type="dxa" w:w="140"/>
            </w:tcMar>
          </w:tcPr>
          <w:p>
            <w:r>
              <w:rPr>
                <w:rFonts w:ascii="Arial" w:cs="Arial" w:eastAsia="Arial" w:hAnsi="Arial"/>
                <w:sz w:val="20"/>
                <w:szCs w:val="20"/>
              </w:rPr>
              <w:t xml:space="preserve">Git + GitHub (private repo — contains business data)</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Final Deliverables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Ridge formula doc, decision tree flowchart, Excel pricing calculator, this report</w:t>
            </w:r>
          </w:p>
        </w:tc>
      </w:tr>
    </w:tbl>
    <w:p>
      <w:pPr>
        <w:spacing w:after="160" w:before="0"/>
      </w:pPr>
      <w:r>
        <w:rPr>
          <w:sz w:val="22"/>
          <w:szCs w:val="22"/>
        </w:rPr>
        <w:t xml:space="preserve"/>
      </w:r>
    </w:p>
    <w:p>
      <w:r>
        <w:br w:type="page"/>
      </w:r>
    </w:p>
    <w:p>
      <w:pPr>
        <w:pStyle w:val="Heading1"/>
        <w:pBdr>
          <w:bottom w:val="single" w:color="1A7A5E" w:sz="10" w:space="4"/>
        </w:pBdr>
        <w:spacing w:after="160" w:before="400"/>
      </w:pPr>
      <w:r>
        <w:rPr>
          <w:rFonts w:ascii="Arial" w:cs="Arial" w:eastAsia="Arial" w:hAnsi="Arial"/>
          <w:b/>
          <w:bCs/>
          <w:color w:val="1F3864"/>
          <w:sz w:val="34"/>
          <w:szCs w:val="34"/>
        </w:rPr>
        <w:t xml:space="preserve">Recommended Next Steps</w:t>
      </w:r>
    </w:p>
    <w:p>
      <w:pPr>
        <w:spacing w:after="60" w:before="60"/>
      </w:pPr>
      <w:r>
        <w:rPr>
          <w:rFonts w:ascii="Arial" w:cs="Arial" w:eastAsia="Arial" w:hAnsi="Arial"/>
          <w:b w:val="false"/>
          <w:bCs w:val="false"/>
          <w:color w:val="111111"/>
          <w:sz w:val="22"/>
          <w:szCs w:val="22"/>
        </w:rPr>
        <w:t xml:space="preserve">Aligned with your Week 11 Data Acquisition milestone:</w:t>
      </w:r>
    </w:p>
    <w:p>
      <w:pPr>
        <w:pStyle w:val="ListParagraph"/>
        <w:numPr>
          <w:ilvl w:val="0"/>
          <w:numId w:val="6"/>
        </w:numPr>
        <w:spacing w:after="60" w:before="60"/>
      </w:pPr>
      <w:r>
        <w:rPr>
          <w:rFonts w:ascii="Arial" w:cs="Arial" w:eastAsia="Arial" w:hAnsi="Arial"/>
          <w:sz w:val="22"/>
          <w:szCs w:val="22"/>
        </w:rPr>
        <w:t xml:space="preserve">Download all invoices from QuickBooks Online as a CSV (Reports &gt; Invoice Details). Note the exact fields exported.</w:t>
      </w:r>
    </w:p>
    <w:p>
      <w:pPr>
        <w:pStyle w:val="ListParagraph"/>
        <w:numPr>
          <w:ilvl w:val="0"/>
          <w:numId w:val="6"/>
        </w:numPr>
        <w:spacing w:after="60" w:before="60"/>
      </w:pPr>
      <w:r>
        <w:rPr>
          <w:rFonts w:ascii="Arial" w:cs="Arial" w:eastAsia="Arial" w:hAnsi="Arial"/>
          <w:sz w:val="22"/>
          <w:szCs w:val="22"/>
        </w:rPr>
        <w:t xml:space="preserve">Immediately strip PII: remove customer names, phone numbers, and full addresses. Replace with CUST_ID and distance zone.</w:t>
      </w:r>
    </w:p>
    <w:p>
      <w:pPr>
        <w:pStyle w:val="ListParagraph"/>
        <w:numPr>
          <w:ilvl w:val="0"/>
          <w:numId w:val="6"/>
        </w:numPr>
        <w:spacing w:after="60" w:before="60"/>
      </w:pPr>
      <w:r>
        <w:rPr>
          <w:rFonts w:ascii="Arial" w:cs="Arial" w:eastAsia="Arial" w:hAnsi="Arial"/>
          <w:sz w:val="22"/>
          <w:szCs w:val="22"/>
        </w:rPr>
        <w:t xml:space="preserve">Audit field completeness: count how many records have each of the six key pricing variables (door type, size, materials, labor hours, travel distance, customer tier). Report gaps to your instructor.</w:t>
      </w:r>
    </w:p>
    <w:p>
      <w:pPr>
        <w:pStyle w:val="ListParagraph"/>
        <w:numPr>
          <w:ilvl w:val="0"/>
          <w:numId w:val="6"/>
        </w:numPr>
        <w:spacing w:after="60" w:before="60"/>
      </w:pPr>
      <w:r>
        <w:rPr>
          <w:rFonts w:ascii="Arial" w:cs="Arial" w:eastAsia="Arial" w:hAnsi="Arial"/>
          <w:sz w:val="22"/>
          <w:szCs w:val="22"/>
        </w:rPr>
        <w:t xml:space="preserve">Set up your Conda environment and install all libraries listed in Section 2.3.</w:t>
      </w:r>
    </w:p>
    <w:p>
      <w:pPr>
        <w:pStyle w:val="ListParagraph"/>
        <w:numPr>
          <w:ilvl w:val="0"/>
          <w:numId w:val="6"/>
        </w:numPr>
        <w:spacing w:after="60" w:before="60"/>
      </w:pPr>
      <w:r>
        <w:rPr>
          <w:rFonts w:ascii="Arial" w:cs="Arial" w:eastAsia="Arial" w:hAnsi="Arial"/>
          <w:sz w:val="22"/>
          <w:szCs w:val="22"/>
        </w:rPr>
        <w:t xml:space="preserve">Initialize a private GitHub repository with a /data, /notebooks, /models, /deliverables directory structure. Commit immediately.</w:t>
      </w:r>
    </w:p>
    <w:p>
      <w:pPr>
        <w:pStyle w:val="ListParagraph"/>
        <w:numPr>
          <w:ilvl w:val="0"/>
          <w:numId w:val="6"/>
        </w:numPr>
        <w:spacing w:after="60" w:before="60"/>
      </w:pPr>
      <w:r>
        <w:rPr>
          <w:rFonts w:ascii="Arial" w:cs="Arial" w:eastAsia="Arial" w:hAnsi="Arial"/>
          <w:sz w:val="22"/>
          <w:szCs w:val="22"/>
        </w:rPr>
        <w:t xml:space="preserve">Begin 01_Data_Cleaning.ipynb with the date-filtering analysis: plot record count by year and price distribution over time before any other cleaning.</w:t>
      </w:r>
    </w:p>
    <w:p>
      <w:pPr>
        <w:spacing w:after="160" w:before="0"/>
      </w:pPr>
      <w:r>
        <w:rPr>
          <w:sz w:val="22"/>
          <w:szCs w:val="22"/>
        </w:rPr>
        <w:t xml:space="preserve"/>
      </w:r>
    </w:p>
    <w:p>
      <w:pPr>
        <w:pBdr>
          <w:left w:val="single" w:color="1A7A5E" w:sz="14" w:space="8"/>
        </w:pBdr>
        <w:spacing w:after="80" w:before="80"/>
        <w:ind w:left="360"/>
      </w:pPr>
      <w:r>
        <w:rPr>
          <w:rFonts w:ascii="Arial" w:cs="Arial" w:eastAsia="Arial" w:hAnsi="Arial"/>
          <w:color w:val="1F3864"/>
          <w:sz w:val="21"/>
          <w:szCs w:val="21"/>
        </w:rPr>
        <w:t xml:space="preserve">"With data analysis, we can build a pricing formula that accounts for door type, size, materials, labor hours, travel distance, and customer tier which will reduce quoting time and effort to near zero, enforce price consistency across all jobs, and make profitability measurable on every single transaction." — The vision is clear. This procedure is the roadmap to get there.</w:t>
      </w:r>
    </w:p>
    <w:p>
      <w:pPr>
        <w:spacing w:after="160" w:before="0"/>
      </w:pPr>
      <w:r>
        <w:rPr>
          <w:sz w:val="22"/>
          <w:szCs w:val="22"/>
        </w:rPr>
        <w:t xml:space="preserve"/>
      </w:r>
    </w:p>
    <w:p>
      <w:pPr>
        <w:spacing w:after="60" w:before="60"/>
      </w:pPr>
      <w:r>
        <w:rPr>
          <w:rFonts w:ascii="Arial" w:cs="Arial" w:eastAsia="Arial" w:hAnsi="Arial"/>
          <w:b w:val="false"/>
          <w:bCs w:val="false"/>
          <w:color w:val="777777"/>
          <w:sz w:val="22"/>
          <w:szCs w:val="22"/>
        </w:rPr>
        <w:t xml:space="preserve">Prepared by Lesther Ouma (CS Partner) | BUS302 Advances in Data | Sattler College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5E" w:sz="4" w:space="2"/>
      </w:pBdr>
      <w:jc w:val="center"/>
    </w:pPr>
    <w:r>
      <w:rPr>
        <w:rFonts w:ascii="Arial" w:cs="Arial" w:eastAsia="Arial" w:hAnsi="Arial"/>
        <w:color w:val="888888"/>
        <w:sz w:val="18"/>
        <w:szCs w:val="18"/>
      </w:rPr>
      <w:t xml:space="preserve">Lesther Ouma  |  BUS302 Capstone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5E" w:sz="4" w:space="2"/>
      </w:pBdr>
      <w:jc w:val="right"/>
    </w:pPr>
    <w:r>
      <w:rPr>
        <w:rFonts w:ascii="Arial" w:cs="Arial" w:eastAsia="Arial" w:hAnsi="Arial"/>
        <w:color w:val="888888"/>
        <w:sz w:val="18"/>
        <w:szCs w:val="18"/>
      </w:rPr>
      <w:t xml:space="preserve">Kornelsen Solutions Inc. — Pricing Model  |  Procedure &amp;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A7A5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2026-04-09T15:51:50.956Z</dcterms:created>
  <dcterms:modified xsi:type="dcterms:W3CDTF">2026-04-09T15:51:50.956Z</dcterms:modified>
</cp:coreProperties>
</file>

<file path=docProps/custom.xml><?xml version="1.0" encoding="utf-8"?>
<Properties xmlns="http://schemas.openxmlformats.org/officeDocument/2006/custom-properties" xmlns:vt="http://schemas.openxmlformats.org/officeDocument/2006/docPropsVTypes"/>
</file>