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/>
          <w:sz w:val="24"/>
          <w:szCs w:val="24"/>
        </w:rPr>
        <w:pBdr>
          <w:bottom w:val="single" w:color="000000" w:sz="12" w:space="0"/>
        </w:pBdr>
      </w:pPr>
      <w:r>
        <w:rPr>
          <w:rFonts w:ascii="Times New Roman" w:hAnsi="Times New Roman"/>
          <w:sz w:val="24"/>
          <w:szCs w:val="24"/>
        </w:rPr>
        <w:t xml:space="preserve">Отчет о работе отдела </w:t>
      </w:r>
      <w:r>
        <w:rPr>
          <w:rFonts w:ascii="Times New Roman" w:hAnsi="Times New Roman"/>
          <w:sz w:val="24"/>
          <w:szCs w:val="24"/>
        </w:rPr>
        <w:t xml:space="preserve">администрирования и защиты информационных систем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rPr>
          <w:rFonts w:ascii="Times New Roman" w:hAnsi="Times New Roman"/>
          <w:sz w:val="24"/>
          <w:szCs w:val="24"/>
          <w:vertAlign w:val="subscript"/>
        </w:rPr>
      </w:pPr>
      <w:r>
        <w:rPr>
          <w:rFonts w:ascii="Times New Roman" w:hAnsi="Times New Roman"/>
          <w:sz w:val="24"/>
          <w:szCs w:val="24"/>
          <w:vertAlign w:val="subscript"/>
        </w:rPr>
        <w:t xml:space="preserve">(Отдел)</w:t>
      </w:r>
      <w:r>
        <w:rPr>
          <w:rFonts w:ascii="Times New Roman" w:hAnsi="Times New Roman"/>
          <w:sz w:val="24"/>
          <w:szCs w:val="24"/>
          <w:vertAlign w:val="subscript"/>
        </w:rPr>
      </w:r>
      <w:r>
        <w:rPr>
          <w:rFonts w:ascii="Times New Roman" w:hAnsi="Times New Roman"/>
          <w:sz w:val="24"/>
          <w:szCs w:val="24"/>
          <w:vertAlign w:val="subscript"/>
        </w:rPr>
      </w:r>
    </w:p>
    <w:p>
      <w:pPr>
        <w:jc w:val="center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за июль </w:t>
      </w:r>
      <w:r>
        <w:rPr>
          <w:rFonts w:ascii="Times New Roman" w:hAnsi="Times New Roman"/>
          <w:sz w:val="24"/>
          <w:szCs w:val="24"/>
          <w:u w:val="single"/>
        </w:rPr>
        <w:t xml:space="preserve">2025</w:t>
      </w:r>
      <w:r>
        <w:rPr>
          <w:rFonts w:ascii="Times New Roman" w:hAnsi="Times New Roman"/>
          <w:sz w:val="24"/>
          <w:szCs w:val="24"/>
          <w:u w:val="single"/>
        </w:rPr>
        <w:t xml:space="preserve"> года</w:t>
      </w:r>
      <w:r>
        <w:rPr>
          <w:rFonts w:ascii="Times New Roman" w:hAnsi="Times New Roman"/>
          <w:sz w:val="24"/>
          <w:szCs w:val="24"/>
          <w:u w:val="single"/>
        </w:rPr>
      </w:r>
      <w:r>
        <w:rPr>
          <w:rFonts w:ascii="Times New Roman" w:hAnsi="Times New Roman"/>
          <w:sz w:val="24"/>
          <w:szCs w:val="24"/>
          <w:u w:val="single"/>
        </w:rPr>
      </w:r>
    </w:p>
    <w:p>
      <w:pPr>
        <w:jc w:val="center"/>
        <w:rPr>
          <w:rFonts w:ascii="Times New Roman" w:hAnsi="Times New Roman"/>
          <w:sz w:val="24"/>
          <w:szCs w:val="24"/>
          <w:vertAlign w:val="subscript"/>
        </w:rPr>
      </w:pPr>
      <w:r>
        <w:rPr>
          <w:rFonts w:ascii="Times New Roman" w:hAnsi="Times New Roman"/>
          <w:sz w:val="24"/>
          <w:szCs w:val="24"/>
          <w:vertAlign w:val="subscript"/>
        </w:rPr>
        <w:t xml:space="preserve">(Месяц)</w:t>
      </w:r>
      <w:r>
        <w:rPr>
          <w:rFonts w:ascii="Times New Roman" w:hAnsi="Times New Roman"/>
          <w:sz w:val="24"/>
          <w:szCs w:val="24"/>
          <w:vertAlign w:val="subscript"/>
        </w:rPr>
      </w:r>
      <w:r>
        <w:rPr>
          <w:rFonts w:ascii="Times New Roman" w:hAnsi="Times New Roman"/>
          <w:sz w:val="24"/>
          <w:szCs w:val="24"/>
          <w:vertAlign w:val="subscript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РАЗДЕЛ 1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Наименование государственной работы: П</w:t>
      </w:r>
      <w:r>
        <w:rPr>
          <w:rFonts w:ascii="Times New Roman" w:hAnsi="Times New Roman"/>
          <w:b/>
          <w:sz w:val="24"/>
          <w:szCs w:val="24"/>
        </w:rPr>
        <w:t xml:space="preserve">редоставление программного обеспечения, инженерной, вычислительной и информационно-телекоммуникационной инфраструктуры, в том числе на основе «облачных технологий». Виды ИКТ-сервисов на основе «облачных технологий»: ПО как услуга (SaaS) (количество систем)</w:t>
      </w:r>
      <w:r>
        <w:rPr>
          <w:rFonts w:ascii="Times New Roman" w:hAnsi="Times New Roman"/>
          <w:b/>
          <w:sz w:val="24"/>
          <w:szCs w:val="24"/>
        </w:rPr>
        <w:t xml:space="preserve">.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1</w:t>
      </w:r>
      <w:r>
        <w:rPr>
          <w:rFonts w:ascii="Times New Roman" w:hAnsi="Times New Roman"/>
          <w:b/>
          <w:sz w:val="24"/>
          <w:szCs w:val="24"/>
        </w:rPr>
        <w:t xml:space="preserve">.</w:t>
      </w:r>
      <w:r>
        <w:rPr>
          <w:rFonts w:ascii="Times New Roman" w:hAnsi="Times New Roman"/>
          <w:b/>
          <w:sz w:val="24"/>
          <w:szCs w:val="24"/>
        </w:rPr>
        <w:t xml:space="preserve">1.</w:t>
      </w:r>
      <w:r>
        <w:rPr>
          <w:rFonts w:ascii="Times New Roman" w:hAnsi="Times New Roman"/>
          <w:b/>
          <w:sz w:val="24"/>
          <w:szCs w:val="24"/>
        </w:rPr>
        <w:t xml:space="preserve"> Сопровождение и ведение единой автоматизированной информационной системы, предназначенной для предоставления государственных и муниципальных услуг Алтайского края в электронном виде через Единый портал</w:t>
      </w:r>
      <w:r>
        <w:rPr>
          <w:rFonts w:ascii="Times New Roman" w:hAnsi="Times New Roman"/>
          <w:b/>
          <w:sz w:val="24"/>
          <w:szCs w:val="24"/>
        </w:rPr>
        <w:t xml:space="preserve"> государственных и муниципальных услуг, межведомственного электронного взаимодействия, в том числе с Государственной информационной системой о государственных и муниципальных платежах посредством Единой системы межведомственного электронного взаимодействия</w:t>
      </w:r>
      <w:r>
        <w:rPr>
          <w:rFonts w:ascii="Times New Roman" w:hAnsi="Times New Roman"/>
          <w:b/>
          <w:sz w:val="24"/>
          <w:szCs w:val="24"/>
        </w:rPr>
        <w:t xml:space="preserve">, а также развитие информационной системы в целях трансформации и оптимизации государственных и муниципальных услуг в соответствии с целевой моделью их предоставления в электронной форме</w:t>
      </w:r>
      <w:r>
        <w:rPr>
          <w:rFonts w:ascii="Times New Roman" w:hAnsi="Times New Roman"/>
          <w:b/>
          <w:sz w:val="24"/>
          <w:szCs w:val="24"/>
        </w:rPr>
        <w:t xml:space="preserve">.</w:t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</w:p>
    <w:p>
      <w:pPr>
        <w:jc w:val="both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8"/>
          <w:szCs w:val="28"/>
          <w:highlight w:val="none"/>
        </w:rPr>
      </w:r>
      <w:r>
        <w:rPr>
          <w:rFonts w:ascii="Times New Roman" w:hAnsi="Times New Roman"/>
          <w:b/>
          <w:sz w:val="24"/>
          <w:szCs w:val="24"/>
        </w:rPr>
        <w:t xml:space="preserve">РАЗНОЕ</w:t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Была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решена проблема с невозможностью смены пароля доменного пользователя после истечения срока действия, установленного доменной политикой AD. Для устранения проблемы была произведена очистка кэша SSSD.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В процессе эксплуатации SSSD была выявлена нов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ая проблема — невозможность открытия сетевых ресурсов в графической оболочке Astra. По данному вопросу был направлен запрос в техническую поддержку. В ответ было получено подтверждение, что ошибка будет исправлена в течение третьего квартала текущего года.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 просьбе сотрудницы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 был создан новый раздел на сайте ОЕПАК — «ФРГУ 3.0», который был заполнен предоставленным контентом.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 просьбе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из нового раздела была удалена неактуальная информация.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Было принято участие в создании формул Excel для нового рейтинга ОМСУ.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Исправлена ошибка в скрипте на бэкапном сервере, из-за которой он не запускался.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В целях повышения безопасности на АРМ сотрудников:  Были изменены настройки конфигурационного файла Samba (smb.conf) и политики Udisks (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org.freedesktop.UDisks2.policy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)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Сотруднице было объяснено, каким образом возможно редактировать контент в элементе «spoiler» на сайте ОЭПАК.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Всем ноутбукам под управлением Windows было задано нулевое значение параметра «SMB1» в реестре.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Была запланирована публикация постов, согласованных с руководством, в официальные группы организации в социальных сетях с помощью сервиса «Госпаблики».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После жалобы сотрудницы  на плохое качество печати внутреннего принтера её отдела, в устройстве был заменен картридж.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Были выгружены отчёты размещённые на </w:t>
      </w: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«</w:t>
      </w: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sc.digital.gov.ru</w:t>
      </w: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» и размещены на общедоступном сетевом хранилище.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 просьбе 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на сайт ОЭПАК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 была добавлена кнопка «Вход в ФРГУ 3.0», перенаправл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яющая на соответствующий ресурс.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Было отправлено письмо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Министру цифрового развития и связи Алтайского края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  <w14:ligatures w14:val="none"/>
        </w:rPr>
        <w:t xml:space="preserve">Зрюмову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  <w14:ligatures w14:val="none"/>
        </w:rPr>
        <w:t xml:space="preserve"> Е.А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  <w14:ligatures w14:val="none"/>
        </w:rPr>
        <w:t xml:space="preserve"> о предоставлении информации в ситуационный центр Губернатора Алтайского края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  <w14:ligatures w14:val="none"/>
        </w:rPr>
        <w:t xml:space="preserve">(РК </w:t>
      </w:r>
      <w:hyperlink r:id="rId9" w:tooltip="https://esed.alregn.ru/WebRC/DOC_RC/DOC_RC.html#rc_id%D0%AF119554018%D0%A7kind_doc%D0%AFOUT%D0%A7card_id%D0%AF0.16E.6YUQ.%D0%A7cabinet_id%D0%AF6823169%D0%A7current_dl%D0%AF0.16E.6YUQ.6YV8.57VDZ." w:history="1">
        <w:r>
          <w:rPr>
            <w:rFonts w:ascii="PT Astra Serif" w:hAnsi="PT Astra Serif" w:eastAsia="PT Astra Serif" w:cs="PT Astra Serif"/>
            <w:sz w:val="24"/>
            <w:szCs w:val="24"/>
            <w:highlight w:val="none"/>
            <w14:ligatures w14:val="none"/>
          </w:rPr>
          <w:t xml:space="preserve">103/ПА/546, дата регистрации: 18.07.2025</w:t>
        </w:r>
        <w:r>
          <w:rPr>
            <w:rFonts w:ascii="PT Astra Serif" w:hAnsi="PT Astra Serif" w:eastAsia="PT Astra Serif" w:cs="PT Astra Serif"/>
            <w:sz w:val="24"/>
            <w:szCs w:val="24"/>
            <w:highlight w:val="none"/>
            <w14:ligatures w14:val="none"/>
          </w:rPr>
          <w:t xml:space="preserve">) </w:t>
        </w:r>
      </w:hyperlink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  <w14:ligatures w14:val="none"/>
        </w:rPr>
        <w:t xml:space="preserve">. К письму был приложен файл с показателями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для наполнения автоматизированной информационной системы для обеспечения руководства региона оперативной информацией о текущей ситуации в социальной и экономической сферах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:lang w:val="en-US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На АРМ сотрудницы были изменены настройки почтового клиента из-за жалоб на постоянные тормоза при работе: были отключены «Глобальный поиск и индексация сообщений», а также аппаратное ускорение.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У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ыло изменено приложение для открытия файлов по умолчанию  формата .pptx у  на R7-Office.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Был установлен TrueConf на АРМ  для проведения вебинаров. Также были созданы две ссылки на рабочем столе: на web-версию и desktop-приложение.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По просьбе сотрудницы  был создан новый раздел на сайте ОЭПАК в «Информационных системах» – ЕРН. Позже раздел был удалён.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 просьбе , на сайте ОЭПАК в разделе «Информационные системы» была исправлена неверная ссылка, ведущая на раздел ВКУ. Также добавлена информация о новом разделе - «ФРГУ 3.0».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 отредактирован вебинар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«Внесение сведений в ФРГУ 3.0 исполнительными органами Алтайского края»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, заблюрены персональные данные и удалены ненужные моменты.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Обновлены материалы в разделе «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Руководства, регламенты, методические рекомендации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ЕСИА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» - загружены актуальные версии. Также обновлены данные в разделе ЦО ЕСИА: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4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«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Динамика регистрации жителей Алтайского края на ЕПГУ по годам» (на 28.07.2025)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4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«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Динамика регистрации на ЕПГУ в 2024-2025 по месяцам» (на 28.07.2025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)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4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Сводная статистика действующих Центров обслуживания ЕСИА (на 30.07.2025)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4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Динамика изменения доли подтвержденных УЗ ЕСИА в Алтайском крае (по мес.), в % (на 31.07.2025)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pStyle w:val="844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Перечень отображаемых Центров обслуживания ЕСИА, открытых на базе ИО/ОМСУ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Cs w:val="24"/>
          <w:highlight w:val="none"/>
          <w14:ligatures w14:val="none"/>
        </w:rPr>
      </w:r>
    </w:p>
    <w:p>
      <w:pPr>
        <w:pStyle w:val="844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hyperlink r:id="rId10" w:tooltip="https://oepak.alregn.ru/upload/esia/347dynam.xlsx" w:history="1">
        <w:r>
          <w:rPr>
            <w:rFonts w:ascii="PT Astra Serif" w:hAnsi="PT Astra Serif" w:eastAsia="PT Astra Serif" w:cs="PT Astra Serif"/>
            <w:sz w:val="24"/>
            <w:szCs w:val="24"/>
            <w:highlight w:val="none"/>
            <w14:ligatures w14:val="none"/>
          </w:rPr>
          <w:t xml:space="preserve">Информация</w:t>
        </w:r>
      </w:hyperlink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 о динамике суммарного количества подтвержденных учетных записей пользователей ЕПГУ в Алтайском крае в удобной табличной форме (за период c 11.01.2017 по 30.07.2025).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Cs w:val="24"/>
          <w:highlight w:val="none"/>
          <w14:ligatures w14:val="none"/>
        </w:rPr>
      </w:r>
    </w:p>
    <w:p>
      <w:pPr>
        <w:pStyle w:val="844"/>
        <w:numPr>
          <w:ilvl w:val="0"/>
          <w:numId w:val="3"/>
        </w:numPr>
        <w:contextualSpacing w:val="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1" w:tooltip="https://oepak.alregn.ru/upload/esia/2reestr20250730.xlsx" w:history="1">
        <w:r>
          <w:rPr>
            <w:rFonts w:ascii="PT Astra Serif" w:hAnsi="PT Astra Serif" w:eastAsia="PT Astra Serif" w:cs="PT Astra Serif"/>
            <w:sz w:val="24"/>
            <w:szCs w:val="24"/>
            <w:highlight w:val="none"/>
            <w14:ligatures w14:val="none"/>
          </w:rPr>
          <w:t xml:space="preserve">Полный список</w:t>
        </w:r>
      </w:hyperlink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 центров обслуживания по подтверждению учетных записей пользователей ЕСИА Алтайского края по состоянию на 30.07.2025, включая неотображаемые (скрытые с карты ЕСИА).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Согласовал и разместил новость в соцгруппах от отдела через сервис «Госпаблики».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  <w:suppressLineNumbers w:val="0"/>
      </w:pPr>
      <w:r>
        <w:rPr>
          <w:rFonts w:ascii="PT Astra Serif" w:hAnsi="PT Astra Serif" w:eastAsia="PT Astra Serif" w:cs="PT Astra Serif"/>
          <w:sz w:val="24"/>
          <w:szCs w:val="24"/>
          <w:highlight w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eastAsia="Times New Roman"/>
          <w:sz w:val="2"/>
          <w:szCs w:val="2"/>
          <w:lang w:eastAsia="ru-RU"/>
        </w:rPr>
      </w:pPr>
      <w:r>
        <w:rPr>
          <w:rFonts w:ascii="Times New Roman" w:hAnsi="Times New Roman" w:eastAsia="Times New Roman"/>
          <w:sz w:val="2"/>
          <w:szCs w:val="2"/>
          <w:lang w:eastAsia="ru-RU"/>
        </w:rPr>
      </w:r>
      <w:r>
        <w:rPr>
          <w:rFonts w:ascii="Times New Roman" w:hAnsi="Times New Roman" w:eastAsia="Times New Roman"/>
          <w:sz w:val="2"/>
          <w:szCs w:val="2"/>
          <w:lang w:eastAsia="ru-RU"/>
        </w:rPr>
      </w:r>
      <w:r>
        <w:rPr>
          <w:rFonts w:ascii="Times New Roman" w:hAnsi="Times New Roman" w:eastAsia="Times New Roman"/>
          <w:sz w:val="2"/>
          <w:szCs w:val="2"/>
          <w:lang w:eastAsia="ru-RU"/>
        </w:rPr>
      </w:r>
    </w:p>
    <w:p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31.07</w:t>
      </w:r>
      <w:r>
        <w:rPr>
          <w:rFonts w:ascii="Times New Roman" w:hAnsi="Times New Roman"/>
          <w:sz w:val="28"/>
          <w:szCs w:val="28"/>
          <w:u w:val="single"/>
        </w:rPr>
        <w:t xml:space="preserve">.202</w:t>
      </w:r>
      <w:r>
        <w:rPr>
          <w:rFonts w:ascii="Times New Roman" w:hAnsi="Times New Roman"/>
          <w:sz w:val="28"/>
          <w:szCs w:val="28"/>
          <w:u w:val="single"/>
        </w:rPr>
        <w:t xml:space="preserve">5</w:t>
      </w:r>
      <w:r>
        <w:rPr>
          <w:rFonts w:ascii="Times New Roman" w:hAnsi="Times New Roman"/>
          <w:sz w:val="28"/>
          <w:szCs w:val="28"/>
          <w:u w:val="single"/>
        </w:rPr>
      </w:r>
      <w:r>
        <w:rPr>
          <w:rFonts w:ascii="Times New Roman" w:hAnsi="Times New Roman"/>
          <w:sz w:val="28"/>
          <w:szCs w:val="28"/>
          <w:u w:val="single"/>
        </w:rPr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5329"/>
        <w:gridCol w:w="4026"/>
      </w:tblGrid>
      <w:tr>
        <w:tblPrEx/>
        <w:trPr/>
        <w:tc>
          <w:tcPr>
            <w:tcW w:w="2848" w:type="pct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Главный специалист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152" w:type="pct"/>
            <w:vAlign w:val="center"/>
            <w:textDirection w:val="lrTb"/>
            <w:noWrap w:val="false"/>
          </w:tcPr>
          <w:p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С.В. Амосов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  <w:suppressLineNumbers w:val="0"/>
      </w:pP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836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660">
    <w:name w:val="No List"/>
    <w:uiPriority w:val="99"/>
    <w:semiHidden/>
    <w:unhideWhenUsed/>
  </w:style>
  <w:style w:type="character" w:styleId="661">
    <w:name w:val="Heading 1 Char"/>
    <w:link w:val="836"/>
    <w:uiPriority w:val="9"/>
    <w:rPr>
      <w:rFonts w:ascii="Arial" w:hAnsi="Arial" w:eastAsia="Arial" w:cs="Arial"/>
      <w:sz w:val="40"/>
      <w:szCs w:val="40"/>
    </w:rPr>
  </w:style>
  <w:style w:type="paragraph" w:styleId="662">
    <w:name w:val="Heading 2"/>
    <w:basedOn w:val="835"/>
    <w:next w:val="835"/>
    <w:link w:val="6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3">
    <w:name w:val="Heading 2 Char"/>
    <w:link w:val="662"/>
    <w:uiPriority w:val="9"/>
    <w:rPr>
      <w:rFonts w:ascii="Arial" w:hAnsi="Arial" w:eastAsia="Arial" w:cs="Arial"/>
      <w:sz w:val="34"/>
    </w:rPr>
  </w:style>
  <w:style w:type="paragraph" w:styleId="664">
    <w:name w:val="Heading 3"/>
    <w:basedOn w:val="835"/>
    <w:next w:val="835"/>
    <w:link w:val="6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5">
    <w:name w:val="Heading 3 Char"/>
    <w:link w:val="664"/>
    <w:uiPriority w:val="9"/>
    <w:rPr>
      <w:rFonts w:ascii="Arial" w:hAnsi="Arial" w:eastAsia="Arial" w:cs="Arial"/>
      <w:sz w:val="30"/>
      <w:szCs w:val="30"/>
    </w:rPr>
  </w:style>
  <w:style w:type="paragraph" w:styleId="666">
    <w:name w:val="Heading 4"/>
    <w:basedOn w:val="835"/>
    <w:next w:val="835"/>
    <w:link w:val="6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7">
    <w:name w:val="Heading 4 Char"/>
    <w:link w:val="666"/>
    <w:uiPriority w:val="9"/>
    <w:rPr>
      <w:rFonts w:ascii="Arial" w:hAnsi="Arial" w:eastAsia="Arial" w:cs="Arial"/>
      <w:b/>
      <w:bCs/>
      <w:sz w:val="26"/>
      <w:szCs w:val="26"/>
    </w:rPr>
  </w:style>
  <w:style w:type="paragraph" w:styleId="668">
    <w:name w:val="Heading 5"/>
    <w:basedOn w:val="835"/>
    <w:next w:val="835"/>
    <w:link w:val="6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9">
    <w:name w:val="Heading 5 Char"/>
    <w:link w:val="668"/>
    <w:uiPriority w:val="9"/>
    <w:rPr>
      <w:rFonts w:ascii="Arial" w:hAnsi="Arial" w:eastAsia="Arial" w:cs="Arial"/>
      <w:b/>
      <w:bCs/>
      <w:sz w:val="24"/>
      <w:szCs w:val="24"/>
    </w:rPr>
  </w:style>
  <w:style w:type="paragraph" w:styleId="670">
    <w:name w:val="Heading 6"/>
    <w:basedOn w:val="835"/>
    <w:next w:val="835"/>
    <w:link w:val="6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1">
    <w:name w:val="Heading 6 Char"/>
    <w:link w:val="670"/>
    <w:uiPriority w:val="9"/>
    <w:rPr>
      <w:rFonts w:ascii="Arial" w:hAnsi="Arial" w:eastAsia="Arial" w:cs="Arial"/>
      <w:b/>
      <w:bCs/>
      <w:sz w:val="22"/>
      <w:szCs w:val="22"/>
    </w:rPr>
  </w:style>
  <w:style w:type="paragraph" w:styleId="672">
    <w:name w:val="Heading 7"/>
    <w:basedOn w:val="835"/>
    <w:next w:val="835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3">
    <w:name w:val="Heading 7 Char"/>
    <w:link w:val="6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4">
    <w:name w:val="Heading 8"/>
    <w:basedOn w:val="835"/>
    <w:next w:val="835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5">
    <w:name w:val="Heading 8 Char"/>
    <w:link w:val="674"/>
    <w:uiPriority w:val="9"/>
    <w:rPr>
      <w:rFonts w:ascii="Arial" w:hAnsi="Arial" w:eastAsia="Arial" w:cs="Arial"/>
      <w:i/>
      <w:iCs/>
      <w:sz w:val="22"/>
      <w:szCs w:val="22"/>
    </w:rPr>
  </w:style>
  <w:style w:type="paragraph" w:styleId="676">
    <w:name w:val="Heading 9"/>
    <w:basedOn w:val="835"/>
    <w:next w:val="835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7">
    <w:name w:val="Heading 9 Char"/>
    <w:link w:val="676"/>
    <w:uiPriority w:val="9"/>
    <w:rPr>
      <w:rFonts w:ascii="Arial" w:hAnsi="Arial" w:eastAsia="Arial" w:cs="Arial"/>
      <w:i/>
      <w:iCs/>
      <w:sz w:val="21"/>
      <w:szCs w:val="21"/>
    </w:rPr>
  </w:style>
  <w:style w:type="paragraph" w:styleId="678">
    <w:name w:val="Title"/>
    <w:basedOn w:val="835"/>
    <w:next w:val="835"/>
    <w:link w:val="6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9">
    <w:name w:val="Title Char"/>
    <w:link w:val="678"/>
    <w:uiPriority w:val="10"/>
    <w:rPr>
      <w:sz w:val="48"/>
      <w:szCs w:val="48"/>
    </w:rPr>
  </w:style>
  <w:style w:type="paragraph" w:styleId="680">
    <w:name w:val="Subtitle"/>
    <w:basedOn w:val="835"/>
    <w:next w:val="835"/>
    <w:link w:val="681"/>
    <w:uiPriority w:val="11"/>
    <w:qFormat/>
    <w:pPr>
      <w:spacing w:before="200" w:after="200"/>
    </w:pPr>
    <w:rPr>
      <w:sz w:val="24"/>
      <w:szCs w:val="24"/>
    </w:rPr>
  </w:style>
  <w:style w:type="character" w:styleId="681">
    <w:name w:val="Subtitle Char"/>
    <w:link w:val="680"/>
    <w:uiPriority w:val="11"/>
    <w:rPr>
      <w:sz w:val="24"/>
      <w:szCs w:val="24"/>
    </w:rPr>
  </w:style>
  <w:style w:type="paragraph" w:styleId="682">
    <w:name w:val="Quote"/>
    <w:basedOn w:val="835"/>
    <w:next w:val="835"/>
    <w:link w:val="683"/>
    <w:uiPriority w:val="29"/>
    <w:qFormat/>
    <w:pPr>
      <w:ind w:left="720" w:right="720"/>
    </w:pPr>
    <w:rPr>
      <w:i/>
    </w:rPr>
  </w:style>
  <w:style w:type="character" w:styleId="683">
    <w:name w:val="Quote Char"/>
    <w:link w:val="682"/>
    <w:uiPriority w:val="29"/>
    <w:rPr>
      <w:i/>
    </w:rPr>
  </w:style>
  <w:style w:type="paragraph" w:styleId="684">
    <w:name w:val="Intense Quote"/>
    <w:basedOn w:val="835"/>
    <w:next w:val="835"/>
    <w:link w:val="6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5">
    <w:name w:val="Intense Quote Char"/>
    <w:link w:val="684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link w:val="686"/>
    <w:uiPriority w:val="99"/>
  </w:style>
  <w:style w:type="paragraph" w:styleId="688">
    <w:name w:val="Footer"/>
    <w:basedOn w:val="835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link w:val="688"/>
    <w:uiPriority w:val="99"/>
  </w:style>
  <w:style w:type="character" w:styleId="690">
    <w:name w:val="Caption Char"/>
    <w:link w:val="841"/>
    <w:uiPriority w:val="35"/>
    <w:rPr>
      <w:b/>
      <w:bCs/>
      <w:color w:val="4f81bd" w:themeColor="accent1"/>
      <w:sz w:val="18"/>
      <w:szCs w:val="18"/>
    </w:rPr>
  </w:style>
  <w:style w:type="table" w:styleId="691">
    <w:name w:val="Table Grid"/>
    <w:basedOn w:val="84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pPr>
      <w:jc w:val="left"/>
      <w:spacing w:before="0" w:after="200" w:line="360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836">
    <w:name w:val="Heading 1"/>
    <w:basedOn w:val="838"/>
    <w:next w:val="839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837">
    <w:name w:val="Символ нумерации"/>
    <w:qFormat/>
  </w:style>
  <w:style w:type="paragraph" w:styleId="838">
    <w:name w:val="Заголовок"/>
    <w:basedOn w:val="835"/>
    <w:next w:val="839"/>
    <w:qFormat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839">
    <w:name w:val="Body Text"/>
    <w:basedOn w:val="835"/>
    <w:pPr>
      <w:spacing w:before="0" w:after="140" w:line="276" w:lineRule="auto"/>
    </w:pPr>
  </w:style>
  <w:style w:type="paragraph" w:styleId="840">
    <w:name w:val="List"/>
    <w:basedOn w:val="839"/>
    <w:rPr>
      <w:rFonts w:ascii="PT Astra Serif" w:hAnsi="PT Astra Serif" w:cs="FreeSans"/>
    </w:rPr>
  </w:style>
  <w:style w:type="paragraph" w:styleId="841">
    <w:name w:val="Caption"/>
    <w:basedOn w:val="835"/>
    <w:link w:val="690"/>
    <w:qFormat/>
    <w:pPr>
      <w:spacing w:before="120" w:after="120"/>
      <w:suppressLineNumbers/>
    </w:pPr>
    <w:rPr>
      <w:rFonts w:ascii="PT Astra Serif" w:hAnsi="PT Astra Serif" w:cs="FreeSans"/>
      <w:i/>
      <w:iCs/>
      <w:sz w:val="24"/>
      <w:szCs w:val="24"/>
    </w:rPr>
  </w:style>
  <w:style w:type="paragraph" w:styleId="842">
    <w:name w:val="Указатель"/>
    <w:basedOn w:val="835"/>
    <w:qFormat/>
    <w:pPr>
      <w:suppressLineNumbers/>
    </w:pPr>
    <w:rPr>
      <w:rFonts w:ascii="PT Astra Serif" w:hAnsi="PT Astra Serif" w:cs="FreeSans"/>
    </w:rPr>
  </w:style>
  <w:style w:type="paragraph" w:styleId="843">
    <w:name w:val="No Spacing"/>
    <w:basedOn w:val="835"/>
    <w:uiPriority w:val="1"/>
    <w:qFormat/>
    <w:pPr>
      <w:spacing w:before="0" w:after="0" w:line="240" w:lineRule="auto"/>
    </w:pPr>
  </w:style>
  <w:style w:type="paragraph" w:styleId="844">
    <w:name w:val="List Paragraph"/>
    <w:basedOn w:val="835"/>
    <w:uiPriority w:val="34"/>
    <w:qFormat/>
    <w:pPr>
      <w:contextualSpacing/>
      <w:ind w:left="720"/>
      <w:spacing w:before="0" w:after="200"/>
    </w:pPr>
  </w:style>
  <w:style w:type="numbering" w:styleId="845" w:default="1">
    <w:name w:val="Без списка"/>
    <w:uiPriority w:val="99"/>
    <w:semiHidden/>
    <w:unhideWhenUsed/>
    <w:qFormat/>
  </w:style>
  <w:style w:type="table" w:styleId="846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character" w:styleId="84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sed.alregn.ru/WebRC/DOC_RC/DOC_RC.html#rc_id%D0%AF119554018%D0%A7kind_doc%D0%AFOUT%D0%A7card_id%D0%AF0.16E.6YUQ.%D0%A7cabinet_id%D0%AF6823169%D0%A7current_dl%D0%AF0.16E.6YUQ.6YV8.57VDZ." TargetMode="External"/><Relationship Id="rId10" Type="http://schemas.openxmlformats.org/officeDocument/2006/relationships/hyperlink" Target="https://oepak.alregn.ru/upload/esia/347dynam.xlsx" TargetMode="External"/><Relationship Id="rId11" Type="http://schemas.openxmlformats.org/officeDocument/2006/relationships/hyperlink" Target="https://oepak.alregn.ru/upload/esia/2reestr20250730.xls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lastModifiedBy>sva@oepak22.local</cp:lastModifiedBy>
  <cp:revision>11</cp:revision>
  <dcterms:modified xsi:type="dcterms:W3CDTF">2025-08-04T01:53:22Z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