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/>
          <w:sz w:val="24"/>
          <w:szCs w:val="24"/>
        </w:rPr>
        <w:pBdr>
          <w:bottom w:val="single" w:color="000000" w:sz="12" w:space="0"/>
        </w:pBdr>
      </w:pPr>
      <w:r>
        <w:rPr>
          <w:rFonts w:ascii="Times New Roman" w:hAnsi="Times New Roman"/>
          <w:sz w:val="24"/>
          <w:szCs w:val="24"/>
        </w:rPr>
        <w:t xml:space="preserve">Отчет о работе отдела </w:t>
      </w:r>
      <w:r>
        <w:rPr>
          <w:rFonts w:ascii="Times New Roman" w:hAnsi="Times New Roman"/>
          <w:sz w:val="24"/>
          <w:szCs w:val="24"/>
        </w:rPr>
        <w:t xml:space="preserve">администрирования и защиты информационных систем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center"/>
        <w:rPr>
          <w:rFonts w:ascii="Times New Roman" w:hAnsi="Times New Roman"/>
          <w:sz w:val="24"/>
          <w:szCs w:val="24"/>
          <w:vertAlign w:val="subscript"/>
        </w:rPr>
      </w:pPr>
      <w:r>
        <w:rPr>
          <w:rFonts w:ascii="Times New Roman" w:hAnsi="Times New Roman"/>
          <w:sz w:val="24"/>
          <w:szCs w:val="24"/>
          <w:vertAlign w:val="subscript"/>
        </w:rPr>
        <w:t xml:space="preserve">(Отдел)</w:t>
      </w:r>
      <w:r>
        <w:rPr>
          <w:rFonts w:ascii="Times New Roman" w:hAnsi="Times New Roman"/>
          <w:sz w:val="24"/>
          <w:szCs w:val="24"/>
          <w:vertAlign w:val="subscript"/>
        </w:rPr>
      </w:r>
      <w:r>
        <w:rPr>
          <w:rFonts w:ascii="Times New Roman" w:hAnsi="Times New Roman"/>
          <w:sz w:val="24"/>
          <w:szCs w:val="24"/>
          <w:vertAlign w:val="subscript"/>
        </w:rPr>
      </w:r>
    </w:p>
    <w:p>
      <w:pPr>
        <w:jc w:val="center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за июль </w:t>
      </w:r>
      <w:r>
        <w:rPr>
          <w:rFonts w:ascii="Times New Roman" w:hAnsi="Times New Roman"/>
          <w:sz w:val="24"/>
          <w:szCs w:val="24"/>
          <w:u w:val="single"/>
        </w:rPr>
        <w:t xml:space="preserve">2025</w:t>
      </w:r>
      <w:r>
        <w:rPr>
          <w:rFonts w:ascii="Times New Roman" w:hAnsi="Times New Roman"/>
          <w:sz w:val="24"/>
          <w:szCs w:val="24"/>
          <w:u w:val="single"/>
        </w:rPr>
        <w:t xml:space="preserve"> года</w:t>
      </w:r>
      <w:r>
        <w:rPr>
          <w:rFonts w:ascii="Times New Roman" w:hAnsi="Times New Roman"/>
          <w:sz w:val="24"/>
          <w:szCs w:val="24"/>
          <w:u w:val="single"/>
        </w:rPr>
      </w:r>
      <w:r>
        <w:rPr>
          <w:rFonts w:ascii="Times New Roman" w:hAnsi="Times New Roman"/>
          <w:sz w:val="24"/>
          <w:szCs w:val="24"/>
          <w:u w:val="single"/>
        </w:rPr>
      </w:r>
    </w:p>
    <w:p>
      <w:pPr>
        <w:jc w:val="center"/>
        <w:rPr>
          <w:rFonts w:ascii="Times New Roman" w:hAnsi="Times New Roman"/>
          <w:sz w:val="24"/>
          <w:szCs w:val="24"/>
          <w:vertAlign w:val="subscript"/>
        </w:rPr>
      </w:pPr>
      <w:r>
        <w:rPr>
          <w:rFonts w:ascii="Times New Roman" w:hAnsi="Times New Roman"/>
          <w:sz w:val="24"/>
          <w:szCs w:val="24"/>
          <w:vertAlign w:val="subscript"/>
        </w:rPr>
        <w:t xml:space="preserve">(Месяц)</w:t>
      </w:r>
      <w:r>
        <w:rPr>
          <w:rFonts w:ascii="Times New Roman" w:hAnsi="Times New Roman"/>
          <w:sz w:val="24"/>
          <w:szCs w:val="24"/>
          <w:vertAlign w:val="subscript"/>
        </w:rPr>
      </w:r>
      <w:r>
        <w:rPr>
          <w:rFonts w:ascii="Times New Roman" w:hAnsi="Times New Roman"/>
          <w:sz w:val="24"/>
          <w:szCs w:val="24"/>
          <w:vertAlign w:val="subscript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РАЗДЕЛ 1</w:t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Наименование государственной работы: П</w:t>
      </w:r>
      <w:r>
        <w:rPr>
          <w:rFonts w:ascii="Times New Roman" w:hAnsi="Times New Roman"/>
          <w:b/>
          <w:sz w:val="24"/>
          <w:szCs w:val="24"/>
        </w:rPr>
        <w:t xml:space="preserve">редоставление программного обеспечения, инженерной, вычислительной и информационно-телекоммуникационной инфраструктуры, в том числе на основе «облачных технологий». Виды ИКТ-сервисов на основе «облачных технологий»: ПО как услуга (SaaS) (количество систем)</w:t>
      </w:r>
      <w:r>
        <w:rPr>
          <w:rFonts w:ascii="Times New Roman" w:hAnsi="Times New Roman"/>
          <w:b/>
          <w:sz w:val="24"/>
          <w:szCs w:val="24"/>
        </w:rPr>
        <w:t xml:space="preserve">.</w:t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</w:rPr>
        <w:t xml:space="preserve">1</w:t>
      </w:r>
      <w:r>
        <w:rPr>
          <w:rFonts w:ascii="Times New Roman" w:hAnsi="Times New Roman"/>
          <w:b/>
          <w:sz w:val="24"/>
          <w:szCs w:val="24"/>
        </w:rPr>
        <w:t xml:space="preserve">.</w:t>
      </w:r>
      <w:r>
        <w:rPr>
          <w:rFonts w:ascii="Times New Roman" w:hAnsi="Times New Roman"/>
          <w:b/>
          <w:sz w:val="24"/>
          <w:szCs w:val="24"/>
        </w:rPr>
        <w:t xml:space="preserve">1.</w:t>
      </w:r>
      <w:r>
        <w:rPr>
          <w:rFonts w:ascii="Times New Roman" w:hAnsi="Times New Roman"/>
          <w:b/>
          <w:sz w:val="24"/>
          <w:szCs w:val="24"/>
        </w:rPr>
        <w:t xml:space="preserve"> Сопровождение и ведение единой автоматизированной информационной системы, предназначенной для предоставления государственных и муниципальных услуг Алтайского края в электронном виде через Единый портал</w:t>
      </w:r>
      <w:r>
        <w:rPr>
          <w:rFonts w:ascii="Times New Roman" w:hAnsi="Times New Roman"/>
          <w:b/>
          <w:sz w:val="24"/>
          <w:szCs w:val="24"/>
        </w:rPr>
        <w:t xml:space="preserve"> государственных и муниципальных услуг, межведомственного электронного взаимодействия, в том числе с Государственной информационной системой о государственных и муниципальных платежах посредством Единой системы межведомственного электронного взаимодействия</w:t>
      </w:r>
      <w:r>
        <w:rPr>
          <w:rFonts w:ascii="Times New Roman" w:hAnsi="Times New Roman"/>
          <w:b/>
          <w:sz w:val="24"/>
          <w:szCs w:val="24"/>
        </w:rPr>
        <w:t xml:space="preserve">, а также развитие информационной системы в целях трансформации и оптимизации государственных и муниципальных услуг в соответствии с целевой моделью их предоставления в электронной форме</w:t>
      </w:r>
      <w:r>
        <w:rPr>
          <w:rFonts w:ascii="Times New Roman" w:hAnsi="Times New Roman"/>
          <w:b/>
          <w:sz w:val="24"/>
          <w:szCs w:val="24"/>
        </w:rPr>
        <w:t xml:space="preserve">.</w:t>
      </w:r>
      <w:r>
        <w:rPr>
          <w:rFonts w:ascii="Times New Roman" w:hAnsi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/>
          <w:b/>
          <w:bCs/>
          <w:sz w:val="24"/>
          <w:szCs w:val="24"/>
          <w:highlight w:val="none"/>
        </w:rPr>
      </w:r>
    </w:p>
    <w:p>
      <w:pPr>
        <w:jc w:val="both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8"/>
          <w:szCs w:val="28"/>
          <w:highlight w:val="none"/>
        </w:rPr>
      </w:r>
      <w:r>
        <w:rPr>
          <w:rFonts w:ascii="Times New Roman" w:hAnsi="Times New Roman"/>
          <w:b/>
          <w:sz w:val="24"/>
          <w:szCs w:val="24"/>
        </w:rPr>
        <w:t xml:space="preserve">РАЗНОЕ</w:t>
      </w:r>
      <w:r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Была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решена проблема с невозможностью смены пароля доменного пользователя после истечения срока действия, установленного доменной политикой AD. Для устранения проблемы была произведена очистка кэша SSSD.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В процессе эксплуатации SSSD была выявлена нов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ая проблема — невозможность открытия сетевых ресурсов в графической оболочке Astra. По данному вопросу был направлен запрос в техническую поддержку. В ответ было получено подтверждение, что ошибка будет исправлена в течение третьего квартала текущего года.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По просьбе сотрудницы Нечаевой Н.А.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 был создан новый раздел на сайте ОЕПАК — «ФРГУ 3.0», который был заполнен предоставленным контентом.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По просьбе Воронкиной Е.В.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из нового раздела была удалена неактуальная информация.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Было принято участие в создании формул Excel для нового рейтинга ОМСУ.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Исправлена ошибка в скрипте на бэкапном сервере, из-за которой он не запускался.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В целях повышения безопасности на АРМ сотрудников: Нечаевой Н.А., Павлиди Н.Г., Басаргина И.А., Конарёвой В.О., Пикулина Ю.К., Воронкиной Е.В. Были изменены настройки конфигурационного файла Samba (smb.conf) и политики Udisks (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org.freedesktop.UDisks2.policy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)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Сотруднице Воронкиной Е.В. было объяснено, каким образом возможно редактировать контент в элементе «spoiler» на сайте ОЭПАК.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Всем ноутбукам под управлением Windows было задано нулевое значение параметра «SMB1» в реестре.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Была запланирована публикация постов, согласованных с руководством, в официальные группы организации в социальных сетях с помощью сервиса «Госпаблики».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После жалобы сотрудницы Машкиной Е.В. на плохое качество печати внутреннего принтера её отдела, в устройстве был заменен картридж.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</w:rPr>
        <w:t xml:space="preserve">Были выгружены отчёты размещённые на </w:t>
      </w:r>
      <w:r>
        <w:rPr>
          <w:rFonts w:ascii="PT Astra Serif" w:hAnsi="PT Astra Serif" w:eastAsia="PT Astra Serif" w:cs="PT Astra Serif"/>
          <w:sz w:val="24"/>
          <w:szCs w:val="24"/>
          <w:highlight w:val="none"/>
        </w:rPr>
        <w:t xml:space="preserve">«</w:t>
      </w:r>
      <w:r>
        <w:rPr>
          <w:rFonts w:ascii="PT Astra Serif" w:hAnsi="PT Astra Serif" w:eastAsia="PT Astra Serif" w:cs="PT Astra Serif"/>
          <w:sz w:val="24"/>
          <w:szCs w:val="24"/>
          <w:highlight w:val="none"/>
        </w:rPr>
        <w:t xml:space="preserve">sc.digital.gov.ru</w:t>
      </w:r>
      <w:r>
        <w:rPr>
          <w:rFonts w:ascii="PT Astra Serif" w:hAnsi="PT Astra Serif" w:eastAsia="PT Astra Serif" w:cs="PT Astra Serif"/>
          <w:sz w:val="24"/>
          <w:szCs w:val="24"/>
          <w:highlight w:val="none"/>
        </w:rPr>
        <w:t xml:space="preserve">» и размещены на общедоступном сетевом хранилище.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Была решена проблема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с зависанием почтового клиента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у Нечаевой Н.А.,  путём перезапуска службы Thunderbird.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По просьбе Воронкиной Е.В.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на сайт ОЭПАК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 была добавлена кнопка «Вход в ФРГУ 3.0», перенаправляющая на соответствующий ресурс.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:lang w:val="en-US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Было отправлено письмо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Министру цифрового развития и связи Алтайского края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:lang w:val="en-US"/>
          <w14:ligatures w14:val="none"/>
        </w:rPr>
        <w:t xml:space="preserve">Зрюмову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:lang w:val="en-US"/>
          <w14:ligatures w14:val="none"/>
        </w:rPr>
        <w:t xml:space="preserve"> Е.А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:lang w:val="en-US"/>
          <w14:ligatures w14:val="none"/>
        </w:rPr>
        <w:t xml:space="preserve"> о предосталвении информации в ситуационный центр Губернатора Алтайского края. К письму был приложен файл с показателями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для наполнения автоматизированной информационной системы для обеспечения руководства региона оперативной информацией о текущей ситуации в социальной и экономической сферах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:lang w:val="en-US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:lang w:val="en-US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На АРМ сотрудницы Воронкиной Е.В. были изменены настройки почтового клиента из-за жалоб на постоянные тормоза при работе: были отключены «Глобальный поиск и индексация сообщений», а также аппаратное ускорение.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У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Нечаевой Н.А. б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ыло изменено приложение для открытия файлов по умолчанию  формата .pptx у  на R7-Office.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</w:rPr>
        <w:t xml:space="preserve">Был установлен TrueConf на АРМ Нечаевой Н.А. для проведения вебинаров. Также были созданы два ярлыка на рабочем столе: на web-версию и desktop-приложение.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</w:rPr>
        <w:t xml:space="preserve">По просьбе сотрудницы Леонтьевой И.С. был создан новый раздел на сайте ОЭПАК в «Информационных системах» – ЕРН. Позже раздел был удалён.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По просьбе Воронкиной Е.В., на сайте ОЭПАК в разделе «Информационные системы» была исправлена неверная ссылка, ведущая на раздел ВКУ. Также добавлена информация о новом разделе - «ФРГУ 3.0».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Был отредактирован вебинар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«Внесение сведений в ФРГУ 3.0 исполнительными органами Алтайского края»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, заблюрены персональные данные и удалены ненужные моменты.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Обновлены материалы в разделе «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Руководства, регламенты, методические рекомендации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ЕСИА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» - загружены актуальные версии. Также обновлены данные в разделе ЦО ЕСИА: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pStyle w:val="842"/>
        <w:numPr>
          <w:ilvl w:val="0"/>
          <w:numId w:val="3"/>
        </w:numPr>
        <w:contextualSpacing w:val="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«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Динамика регистрации жителей Алтайского края на ЕПГУ по годам» (на 28.07.2025)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pStyle w:val="842"/>
        <w:numPr>
          <w:ilvl w:val="0"/>
          <w:numId w:val="3"/>
        </w:numPr>
        <w:contextualSpacing w:val="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«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Динамика регистрации на ЕПГУ в 2024-2025 по месяцам» (на 28.07.2025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)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pStyle w:val="842"/>
        <w:numPr>
          <w:ilvl w:val="0"/>
          <w:numId w:val="3"/>
        </w:numPr>
        <w:contextualSpacing w:val="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Сводная статистика действующих Центров обслуживания ЕСИА (на 30.07.2025)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pStyle w:val="842"/>
        <w:numPr>
          <w:ilvl w:val="0"/>
          <w:numId w:val="3"/>
        </w:numPr>
        <w:contextualSpacing w:val="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Динамика изменения доли подтвержденных УЗ ЕСИА в Алтайском крае (по мес.), в % (на 31.07.2025)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.</w:t>
      </w:r>
      <w:r/>
      <w:r/>
    </w:p>
    <w:p>
      <w:pPr>
        <w:pStyle w:val="842"/>
        <w:numPr>
          <w:ilvl w:val="0"/>
          <w:numId w:val="3"/>
        </w:numPr>
        <w:contextualSpacing w:val="0"/>
        <w:jc w:val="both"/>
        <w:rPr>
          <w:rFonts w:ascii="PT Astra Serif" w:hAnsi="PT Astra Serif" w:eastAsia="PT Astra Serif" w:cs="PT Astra Serif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Перечень отображаемых Центров обслуживания ЕСИА, открытых на базе ИО/ОМСУ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pStyle w:val="842"/>
        <w:numPr>
          <w:ilvl w:val="0"/>
          <w:numId w:val="3"/>
        </w:numPr>
        <w:contextualSpacing w:val="0"/>
        <w:jc w:val="both"/>
        <w:rPr>
          <w:rFonts w:ascii="PT Astra Serif" w:hAnsi="PT Astra Serif" w:eastAsia="PT Astra Serif" w:cs="PT Astra Serif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hyperlink r:id="rId9" w:tooltip="https://oepak.alregn.ru/upload/esia/347dynam.xlsx" w:history="1">
        <w:r>
          <w:rPr>
            <w:rFonts w:ascii="PT Astra Serif" w:hAnsi="PT Astra Serif" w:eastAsia="PT Astra Serif" w:cs="PT Astra Serif"/>
            <w:sz w:val="24"/>
            <w:szCs w:val="24"/>
            <w:highlight w:val="none"/>
            <w14:ligatures w14:val="none"/>
          </w:rPr>
          <w:t xml:space="preserve">Информация</w:t>
        </w:r>
      </w:hyperlink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 о динамике суммарного количества подтвержденных учетных записей пользователей ЕПГУ в Алтайском крае в удобной табличной форме (за период c 11.01.2017 по 30.07.2025).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pStyle w:val="842"/>
        <w:numPr>
          <w:ilvl w:val="0"/>
          <w:numId w:val="3"/>
        </w:numPr>
        <w:contextualSpacing w:val="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hyperlink r:id="rId10" w:tooltip="https://oepak.alregn.ru/upload/esia/2reestr20250730.xlsx" w:history="1">
        <w:r>
          <w:rPr>
            <w:rFonts w:ascii="PT Astra Serif" w:hAnsi="PT Astra Serif" w:eastAsia="PT Astra Serif" w:cs="PT Astra Serif"/>
            <w:sz w:val="24"/>
            <w:szCs w:val="24"/>
            <w:highlight w:val="none"/>
            <w14:ligatures w14:val="none"/>
          </w:rPr>
          <w:t xml:space="preserve">Полный список</w:t>
        </w:r>
      </w:hyperlink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 центров обслуживания по подтверждению учетных записей пользователей ЕСИА Алтайского края по состоянию на 30.07.2025, включая неотображаемые (скрытые с карты ЕСИА).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Согласовал и разместил новость в соцгруппах от отдела через сервис «Госпаблики».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  <w:suppressLineNumbers w:val="0"/>
      </w:pPr>
      <w:r>
        <w:rPr>
          <w:rFonts w:ascii="PT Astra Serif" w:hAnsi="PT Astra Serif" w:eastAsia="PT Astra Serif" w:cs="PT Astra Serif"/>
          <w:sz w:val="24"/>
          <w:szCs w:val="24"/>
          <w:highlight w:val="none"/>
        </w:rPr>
      </w:r>
      <w:r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eastAsia="Times New Roman"/>
          <w:sz w:val="2"/>
          <w:szCs w:val="2"/>
          <w:lang w:eastAsia="ru-RU"/>
        </w:rPr>
      </w:pPr>
      <w:r>
        <w:rPr>
          <w:rFonts w:ascii="Times New Roman" w:hAnsi="Times New Roman" w:eastAsia="Times New Roman"/>
          <w:sz w:val="2"/>
          <w:szCs w:val="2"/>
          <w:lang w:eastAsia="ru-RU"/>
        </w:rPr>
      </w:r>
      <w:r>
        <w:rPr>
          <w:rFonts w:ascii="Times New Roman" w:hAnsi="Times New Roman" w:eastAsia="Times New Roman"/>
          <w:sz w:val="2"/>
          <w:szCs w:val="2"/>
          <w:lang w:eastAsia="ru-RU"/>
        </w:rPr>
      </w:r>
      <w:r>
        <w:rPr>
          <w:rFonts w:ascii="Times New Roman" w:hAnsi="Times New Roman" w:eastAsia="Times New Roman"/>
          <w:sz w:val="2"/>
          <w:szCs w:val="2"/>
          <w:lang w:eastAsia="ru-RU"/>
        </w:rPr>
      </w:r>
    </w:p>
    <w:p>
      <w:p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30.05</w:t>
      </w:r>
      <w:r>
        <w:rPr>
          <w:rFonts w:ascii="Times New Roman" w:hAnsi="Times New Roman"/>
          <w:sz w:val="28"/>
          <w:szCs w:val="28"/>
          <w:u w:val="single"/>
        </w:rPr>
        <w:t xml:space="preserve">.202</w:t>
      </w:r>
      <w:r>
        <w:rPr>
          <w:rFonts w:ascii="Times New Roman" w:hAnsi="Times New Roman"/>
          <w:sz w:val="28"/>
          <w:szCs w:val="28"/>
          <w:u w:val="single"/>
        </w:rPr>
        <w:t xml:space="preserve">5</w:t>
      </w:r>
      <w:r>
        <w:rPr>
          <w:rFonts w:ascii="Times New Roman" w:hAnsi="Times New Roman"/>
          <w:sz w:val="28"/>
          <w:szCs w:val="28"/>
          <w:u w:val="single"/>
        </w:rPr>
      </w:r>
      <w:r>
        <w:rPr>
          <w:rFonts w:ascii="Times New Roman" w:hAnsi="Times New Roman"/>
          <w:sz w:val="28"/>
          <w:szCs w:val="28"/>
          <w:u w:val="single"/>
        </w:rPr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5329"/>
        <w:gridCol w:w="4026"/>
      </w:tblGrid>
      <w:tr>
        <w:tblPrEx/>
        <w:trPr/>
        <w:tc>
          <w:tcPr>
            <w:tcW w:w="2848" w:type="pct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Главный специалист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152" w:type="pct"/>
            <w:vAlign w:val="center"/>
            <w:textDirection w:val="lrTb"/>
            <w:noWrap w:val="false"/>
          </w:tcPr>
          <w:p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С.В. Амосов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  <w:suppressLineNumbers w:val="0"/>
      </w:pPr>
      <w:r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Noto Sans CJK SC">
    <w:panose1 w:val="020B0500000000000000"/>
  </w:font>
  <w:font w:name="FreeSans">
    <w:panose1 w:val="020B0504020202020204"/>
  </w:font>
  <w:font w:name="PT Astra Serif">
    <w:panose1 w:val="020A0603040505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none"/>
      <w:pStyle w:val="834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658">
    <w:name w:val="No List"/>
    <w:uiPriority w:val="99"/>
    <w:semiHidden/>
    <w:unhideWhenUsed/>
  </w:style>
  <w:style w:type="character" w:styleId="659">
    <w:name w:val="Heading 1 Char"/>
    <w:link w:val="834"/>
    <w:uiPriority w:val="9"/>
    <w:rPr>
      <w:rFonts w:ascii="Arial" w:hAnsi="Arial" w:eastAsia="Arial" w:cs="Arial"/>
      <w:sz w:val="40"/>
      <w:szCs w:val="40"/>
    </w:rPr>
  </w:style>
  <w:style w:type="paragraph" w:styleId="660">
    <w:name w:val="Heading 2"/>
    <w:basedOn w:val="833"/>
    <w:next w:val="833"/>
    <w:link w:val="66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1">
    <w:name w:val="Heading 2 Char"/>
    <w:link w:val="660"/>
    <w:uiPriority w:val="9"/>
    <w:rPr>
      <w:rFonts w:ascii="Arial" w:hAnsi="Arial" w:eastAsia="Arial" w:cs="Arial"/>
      <w:sz w:val="34"/>
    </w:rPr>
  </w:style>
  <w:style w:type="paragraph" w:styleId="662">
    <w:name w:val="Heading 3"/>
    <w:basedOn w:val="833"/>
    <w:next w:val="833"/>
    <w:link w:val="66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3">
    <w:name w:val="Heading 3 Char"/>
    <w:link w:val="662"/>
    <w:uiPriority w:val="9"/>
    <w:rPr>
      <w:rFonts w:ascii="Arial" w:hAnsi="Arial" w:eastAsia="Arial" w:cs="Arial"/>
      <w:sz w:val="30"/>
      <w:szCs w:val="30"/>
    </w:rPr>
  </w:style>
  <w:style w:type="paragraph" w:styleId="664">
    <w:name w:val="Heading 4"/>
    <w:basedOn w:val="833"/>
    <w:next w:val="833"/>
    <w:link w:val="66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5">
    <w:name w:val="Heading 4 Char"/>
    <w:link w:val="664"/>
    <w:uiPriority w:val="9"/>
    <w:rPr>
      <w:rFonts w:ascii="Arial" w:hAnsi="Arial" w:eastAsia="Arial" w:cs="Arial"/>
      <w:b/>
      <w:bCs/>
      <w:sz w:val="26"/>
      <w:szCs w:val="26"/>
    </w:rPr>
  </w:style>
  <w:style w:type="paragraph" w:styleId="666">
    <w:name w:val="Heading 5"/>
    <w:basedOn w:val="833"/>
    <w:next w:val="833"/>
    <w:link w:val="66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7">
    <w:name w:val="Heading 5 Char"/>
    <w:link w:val="666"/>
    <w:uiPriority w:val="9"/>
    <w:rPr>
      <w:rFonts w:ascii="Arial" w:hAnsi="Arial" w:eastAsia="Arial" w:cs="Arial"/>
      <w:b/>
      <w:bCs/>
      <w:sz w:val="24"/>
      <w:szCs w:val="24"/>
    </w:rPr>
  </w:style>
  <w:style w:type="paragraph" w:styleId="668">
    <w:name w:val="Heading 6"/>
    <w:basedOn w:val="833"/>
    <w:next w:val="833"/>
    <w:link w:val="66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9">
    <w:name w:val="Heading 6 Char"/>
    <w:link w:val="668"/>
    <w:uiPriority w:val="9"/>
    <w:rPr>
      <w:rFonts w:ascii="Arial" w:hAnsi="Arial" w:eastAsia="Arial" w:cs="Arial"/>
      <w:b/>
      <w:bCs/>
      <w:sz w:val="22"/>
      <w:szCs w:val="22"/>
    </w:rPr>
  </w:style>
  <w:style w:type="paragraph" w:styleId="670">
    <w:name w:val="Heading 7"/>
    <w:basedOn w:val="833"/>
    <w:next w:val="833"/>
    <w:link w:val="67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1">
    <w:name w:val="Heading 7 Char"/>
    <w:link w:val="67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2">
    <w:name w:val="Heading 8"/>
    <w:basedOn w:val="833"/>
    <w:next w:val="833"/>
    <w:link w:val="67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3">
    <w:name w:val="Heading 8 Char"/>
    <w:link w:val="672"/>
    <w:uiPriority w:val="9"/>
    <w:rPr>
      <w:rFonts w:ascii="Arial" w:hAnsi="Arial" w:eastAsia="Arial" w:cs="Arial"/>
      <w:i/>
      <w:iCs/>
      <w:sz w:val="22"/>
      <w:szCs w:val="22"/>
    </w:rPr>
  </w:style>
  <w:style w:type="paragraph" w:styleId="674">
    <w:name w:val="Heading 9"/>
    <w:basedOn w:val="833"/>
    <w:next w:val="833"/>
    <w:link w:val="67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5">
    <w:name w:val="Heading 9 Char"/>
    <w:link w:val="674"/>
    <w:uiPriority w:val="9"/>
    <w:rPr>
      <w:rFonts w:ascii="Arial" w:hAnsi="Arial" w:eastAsia="Arial" w:cs="Arial"/>
      <w:i/>
      <w:iCs/>
      <w:sz w:val="21"/>
      <w:szCs w:val="21"/>
    </w:rPr>
  </w:style>
  <w:style w:type="paragraph" w:styleId="676">
    <w:name w:val="Title"/>
    <w:basedOn w:val="833"/>
    <w:next w:val="833"/>
    <w:link w:val="67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7">
    <w:name w:val="Title Char"/>
    <w:link w:val="676"/>
    <w:uiPriority w:val="10"/>
    <w:rPr>
      <w:sz w:val="48"/>
      <w:szCs w:val="48"/>
    </w:rPr>
  </w:style>
  <w:style w:type="paragraph" w:styleId="678">
    <w:name w:val="Subtitle"/>
    <w:basedOn w:val="833"/>
    <w:next w:val="833"/>
    <w:link w:val="679"/>
    <w:uiPriority w:val="11"/>
    <w:qFormat/>
    <w:pPr>
      <w:spacing w:before="200" w:after="200"/>
    </w:pPr>
    <w:rPr>
      <w:sz w:val="24"/>
      <w:szCs w:val="24"/>
    </w:rPr>
  </w:style>
  <w:style w:type="character" w:styleId="679">
    <w:name w:val="Subtitle Char"/>
    <w:link w:val="678"/>
    <w:uiPriority w:val="11"/>
    <w:rPr>
      <w:sz w:val="24"/>
      <w:szCs w:val="24"/>
    </w:rPr>
  </w:style>
  <w:style w:type="paragraph" w:styleId="680">
    <w:name w:val="Quote"/>
    <w:basedOn w:val="833"/>
    <w:next w:val="833"/>
    <w:link w:val="681"/>
    <w:uiPriority w:val="29"/>
    <w:qFormat/>
    <w:pPr>
      <w:ind w:left="720" w:right="720"/>
    </w:pPr>
    <w:rPr>
      <w:i/>
    </w:rPr>
  </w:style>
  <w:style w:type="character" w:styleId="681">
    <w:name w:val="Quote Char"/>
    <w:link w:val="680"/>
    <w:uiPriority w:val="29"/>
    <w:rPr>
      <w:i/>
    </w:rPr>
  </w:style>
  <w:style w:type="paragraph" w:styleId="682">
    <w:name w:val="Intense Quote"/>
    <w:basedOn w:val="833"/>
    <w:next w:val="833"/>
    <w:link w:val="68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3">
    <w:name w:val="Intense Quote Char"/>
    <w:link w:val="682"/>
    <w:uiPriority w:val="30"/>
    <w:rPr>
      <w:i/>
    </w:rPr>
  </w:style>
  <w:style w:type="paragraph" w:styleId="684">
    <w:name w:val="Header"/>
    <w:basedOn w:val="833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Header Char"/>
    <w:link w:val="684"/>
    <w:uiPriority w:val="99"/>
  </w:style>
  <w:style w:type="paragraph" w:styleId="686">
    <w:name w:val="Footer"/>
    <w:basedOn w:val="833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Footer Char"/>
    <w:link w:val="686"/>
    <w:uiPriority w:val="99"/>
  </w:style>
  <w:style w:type="character" w:styleId="688">
    <w:name w:val="Caption Char"/>
    <w:link w:val="839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4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4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4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2"/>
    <w:basedOn w:val="84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3">
    <w:name w:val="Plain Table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6 Colorful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8">
    <w:name w:val="Grid Table 7 Colorful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6 Colorful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9">
    <w:name w:val="List Table 7 Colorful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3">
    <w:name w:val="List Table 7 Colorful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4">
    <w:name w:val="Lined - Accent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6">
    <w:name w:val="Lined - Accent 2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0">
    <w:name w:val="Lined - Accent 6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3">
    <w:name w:val="Bordered &amp; Lined - Accent 2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7">
    <w:name w:val="Bordered &amp; Lined - Accent 6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  <w:pPr>
      <w:jc w:val="left"/>
      <w:spacing w:before="0" w:after="200" w:line="360" w:lineRule="auto"/>
      <w:widowControl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834">
    <w:name w:val="Heading 1"/>
    <w:basedOn w:val="836"/>
    <w:next w:val="837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835">
    <w:name w:val="Символ нумерации"/>
    <w:qFormat/>
  </w:style>
  <w:style w:type="paragraph" w:styleId="836">
    <w:name w:val="Заголовок"/>
    <w:basedOn w:val="833"/>
    <w:next w:val="837"/>
    <w:qFormat/>
    <w:pPr>
      <w:keepNext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styleId="837">
    <w:name w:val="Body Text"/>
    <w:basedOn w:val="833"/>
    <w:pPr>
      <w:spacing w:before="0" w:after="140" w:line="276" w:lineRule="auto"/>
    </w:pPr>
  </w:style>
  <w:style w:type="paragraph" w:styleId="838">
    <w:name w:val="List"/>
    <w:basedOn w:val="837"/>
    <w:rPr>
      <w:rFonts w:ascii="PT Astra Serif" w:hAnsi="PT Astra Serif" w:cs="FreeSans"/>
    </w:rPr>
  </w:style>
  <w:style w:type="paragraph" w:styleId="839">
    <w:name w:val="Caption"/>
    <w:basedOn w:val="833"/>
    <w:link w:val="688"/>
    <w:qFormat/>
    <w:pPr>
      <w:spacing w:before="120" w:after="120"/>
      <w:suppressLineNumbers/>
    </w:pPr>
    <w:rPr>
      <w:rFonts w:ascii="PT Astra Serif" w:hAnsi="PT Astra Serif" w:cs="FreeSans"/>
      <w:i/>
      <w:iCs/>
      <w:sz w:val="24"/>
      <w:szCs w:val="24"/>
    </w:rPr>
  </w:style>
  <w:style w:type="paragraph" w:styleId="840">
    <w:name w:val="Указатель"/>
    <w:basedOn w:val="833"/>
    <w:qFormat/>
    <w:pPr>
      <w:suppressLineNumbers/>
    </w:pPr>
    <w:rPr>
      <w:rFonts w:ascii="PT Astra Serif" w:hAnsi="PT Astra Serif" w:cs="FreeSans"/>
    </w:rPr>
  </w:style>
  <w:style w:type="paragraph" w:styleId="841">
    <w:name w:val="No Spacing"/>
    <w:basedOn w:val="833"/>
    <w:uiPriority w:val="1"/>
    <w:qFormat/>
    <w:pPr>
      <w:spacing w:before="0" w:after="0" w:line="240" w:lineRule="auto"/>
    </w:pPr>
  </w:style>
  <w:style w:type="paragraph" w:styleId="842">
    <w:name w:val="List Paragraph"/>
    <w:basedOn w:val="833"/>
    <w:uiPriority w:val="34"/>
    <w:qFormat/>
    <w:pPr>
      <w:contextualSpacing/>
      <w:ind w:left="720"/>
      <w:spacing w:before="0" w:after="200"/>
    </w:pPr>
  </w:style>
  <w:style w:type="numbering" w:styleId="843" w:default="1">
    <w:name w:val="Без списка"/>
    <w:uiPriority w:val="99"/>
    <w:semiHidden/>
    <w:unhideWhenUsed/>
    <w:qFormat/>
  </w:style>
  <w:style w:type="table" w:styleId="844" w:default="1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character" w:styleId="84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oepak.alregn.ru/upload/esia/347dynam.xlsx" TargetMode="External"/><Relationship Id="rId10" Type="http://schemas.openxmlformats.org/officeDocument/2006/relationships/hyperlink" Target="https://oepak.alregn.ru/upload/esia/2reestr20250730.xlsx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Р7-Офис/2024.4.2.721</Application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ru-RU</dc:language>
  <cp:lastModifiedBy>sva@oepak22.local</cp:lastModifiedBy>
  <cp:revision>10</cp:revision>
  <dcterms:modified xsi:type="dcterms:W3CDTF">2025-07-31T10:40:04Z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