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4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6"/>
          <w:szCs w:val="26"/>
          <w:lang w:val="vi-V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z w:val="26"/>
          <w:szCs w:val="26"/>
          <w:lang w:val="vi-VN"/>
        </w:rPr>
        <w:t>Họ và tên: Hoàng Đình Tân</w:t>
      </w:r>
    </w:p>
    <w:p>
      <w:pPr>
        <w:pStyle w:val="Normal"/>
        <w:widowControl w:val="false"/>
        <w:pBdr/>
        <w:spacing w:lineRule="auto" w:line="240"/>
        <w:jc w:val="center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6"/>
          <w:szCs w:val="26"/>
          <w:lang w:val="vi-VN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0"/>
          <w:sz w:val="26"/>
          <w:szCs w:val="26"/>
          <w:lang w:val="vi-VN"/>
        </w:rPr>
        <w:t>MSSV: 1250080166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cs="Times New Roman" w:ascii="Times New Roman" w:hAnsi="Times New Roman"/>
          <w:sz w:val="24"/>
          <w:szCs w:val="24"/>
          <w:lang w:val="vi-VN"/>
        </w:rPr>
        <w:t>Xác định các actor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Times New Roman" w:hAnsi="Times New Roman" w:eastAsia="Times New Roman" w:cs="Times New Roman"/>
          <w:color w:val="10101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01010"/>
          <w:sz w:val="24"/>
          <w:szCs w:val="24"/>
        </w:rPr>
        <w:t>Nhân viên cửa hàng (Staff):</w:t>
      </w:r>
      <w:r>
        <w:rPr>
          <w:rFonts w:eastAsia="Times New Roman" w:cs="Times New Roman" w:ascii="Times New Roman" w:hAnsi="Times New Roman"/>
          <w:color w:val="101010"/>
          <w:sz w:val="24"/>
          <w:szCs w:val="24"/>
        </w:rPr>
        <w:t> Tác nhân tương tác trực tiếp với phần mềm để thực hiện mọi hoạt động nghiệp vụ: lập đơn đặt hàng, nhận phiếu giao hàng, kiểm tra kho, lập hóa đơn, lập phiếu hẹn, lập phiếu ghi nợ.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101010"/>
          <w:sz w:val="24"/>
          <w:szCs w:val="24"/>
          <w:lang w:val="vi-VN"/>
        </w:rPr>
      </w:pPr>
      <w:r>
        <w:rPr>
          <w:rFonts w:eastAsia="Times New Roman" w:cs="Times New Roman" w:ascii="Times New Roman" w:hAnsi="Times New Roman"/>
          <w:color w:val="101010"/>
          <w:sz w:val="24"/>
          <w:szCs w:val="24"/>
          <w:lang w:val="vi-VN"/>
        </w:rPr>
        <w:t xml:space="preserve">Danh sách Usecase tổng quát: </w:t>
      </w:r>
    </w:p>
    <w:tbl>
      <w:tblPr>
        <w:tblW w:w="9408" w:type="dxa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7" w:type="dxa"/>
        </w:tblCellMar>
        <w:tblLook w:val="04a0" w:firstRow="1" w:noVBand="1" w:lastRow="0" w:firstColumn="1" w:lastColumn="0" w:noHBand="0"/>
      </w:tblPr>
      <w:tblGrid>
        <w:gridCol w:w="2406"/>
        <w:gridCol w:w="1135"/>
        <w:gridCol w:w="3686"/>
        <w:gridCol w:w="2181"/>
      </w:tblGrid>
      <w:tr>
        <w:trPr>
          <w:tblHeader w:val="true"/>
        </w:trPr>
        <w:tc>
          <w:tcPr>
            <w:tcW w:w="240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shd w:fill="729FCF" w:val="clear"/>
            <w:vAlign w:val="center"/>
          </w:tcPr>
          <w:p>
            <w:pPr>
              <w:pStyle w:val="ListParagraph"/>
              <w:ind w:start="142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Phân hệ</w:t>
            </w:r>
          </w:p>
        </w:tc>
        <w:tc>
          <w:tcPr>
            <w:tcW w:w="1135" w:type="dxa"/>
            <w:tcBorders>
              <w:top w:val="single" w:sz="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729FCF" w:val="clear"/>
            <w:vAlign w:val="center"/>
          </w:tcPr>
          <w:p>
            <w:pPr>
              <w:pStyle w:val="ListParagraph"/>
              <w:ind w:hanging="580" w:start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Mã UC</w:t>
            </w:r>
          </w:p>
        </w:tc>
        <w:tc>
          <w:tcPr>
            <w:tcW w:w="3686" w:type="dxa"/>
            <w:tcBorders>
              <w:top w:val="single" w:sz="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729FCF" w:val="clear"/>
            <w:vAlign w:val="center"/>
          </w:tcPr>
          <w:p>
            <w:pPr>
              <w:pStyle w:val="ListParagraph"/>
              <w:ind w:hanging="394" w:start="452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Tên Use Case</w:t>
            </w:r>
          </w:p>
        </w:tc>
        <w:tc>
          <w:tcPr>
            <w:tcW w:w="2181" w:type="dxa"/>
            <w:tcBorders>
              <w:top w:val="single" w:sz="2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shd w:fill="729FCF" w:val="clear"/>
            <w:vAlign w:val="center"/>
          </w:tcPr>
          <w:p>
            <w:pPr>
              <w:pStyle w:val="ListParagraph"/>
              <w:ind w:hanging="486" w:start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Actor trực tiếp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I. Quản lý danh mục (CRUD thực thể)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UC01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Quản lý nước giải khát &amp; loại NGK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b/>
                <w:bCs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UC02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Quản lý nhà cung ứng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UC03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Quản lý thông tin khách quen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UC04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Lập đơn đặt hàng đến NCC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II. Xử lý nghiệp vụ chính</w:t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UC05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Tiếp nhận &amp; lập phiếu giao hàng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UC06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  <w:lang w:val="vi-VN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Tra cứu/kiểm tra tồn kho NGK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UC07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Lập hóa đơn bán hàng &amp; thanh toán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UC08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Lập phiếu hẹn giao hàng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UC09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Lập phiếu ghi nợ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UC10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Báo cáo tồn kho &amp; hàng sắp hết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  <w:tr>
        <w:trPr/>
        <w:tc>
          <w:tcPr>
            <w:tcW w:w="240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start="14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4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hanging="580" w:start="720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101010"/>
                <w:sz w:val="24"/>
                <w:szCs w:val="24"/>
              </w:rPr>
              <w:t>UC11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  <w:lang w:val="vi-VN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Báo cáo doanh thu &amp; công nợ khách</w:t>
            </w:r>
          </w:p>
          <w:p>
            <w:pPr>
              <w:pStyle w:val="ListParagraph"/>
              <w:ind w:hanging="394" w:start="452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hàng</w:t>
            </w:r>
          </w:p>
        </w:tc>
        <w:tc>
          <w:tcPr>
            <w:tcW w:w="218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ListParagraph"/>
              <w:ind w:hanging="486" w:start="720"/>
              <w:rPr>
                <w:rFonts w:ascii="Times New Roman" w:hAnsi="Times New Roman" w:eastAsia="Times New Roman" w:cs="Times New Roman"/>
                <w:color w:val="10101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01010"/>
                <w:sz w:val="24"/>
                <w:szCs w:val="24"/>
              </w:rPr>
              <w:t>Nhân viên</w:t>
            </w:r>
          </w:p>
        </w:tc>
      </w:tr>
    </w:tbl>
    <w:p>
      <w:pPr>
        <w:pStyle w:val="ListParagraph"/>
        <w:spacing w:lineRule="auto" w:line="240"/>
        <w:ind w:hanging="0" w:start="0"/>
        <w:rPr/>
      </w:pPr>
      <w:r>
        <w:rPr/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101010"/>
          <w:sz w:val="24"/>
          <w:szCs w:val="24"/>
          <w:lang w:val="vi-VN"/>
        </w:rPr>
      </w:pPr>
      <w:r>
        <w:rPr>
          <w:rFonts w:eastAsia="Times New Roman" w:cs="Times New Roman" w:ascii="Times New Roman" w:hAnsi="Times New Roman"/>
          <w:color w:val="101010"/>
          <w:sz w:val="24"/>
          <w:szCs w:val="24"/>
          <w:lang w:val="vi-VN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10101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E5496"/>
          <w:sz w:val="24"/>
          <w:szCs w:val="24"/>
        </w:rPr>
        <w:t xml:space="preserve">Câu 2. </w:t>
      </w:r>
      <w:r>
        <w:rPr>
          <w:rFonts w:eastAsia="Times New Roman" w:cs="Times New Roman" w:ascii="Times New Roman" w:hAnsi="Times New Roman"/>
          <w:i/>
          <w:iCs/>
          <w:color w:val="A6A6A6"/>
        </w:rPr>
        <w:t xml:space="preserve"> </w:t>
      </w:r>
    </w:p>
    <w:tbl>
      <w:tblPr>
        <w:tblW w:w="9404" w:type="dxa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4a0" w:firstRow="1" w:noVBand="1" w:lastRow="0" w:firstColumn="1" w:lastColumn="0" w:noHBand="0"/>
      </w:tblPr>
      <w:tblGrid>
        <w:gridCol w:w="2119"/>
        <w:gridCol w:w="3024"/>
        <w:gridCol w:w="4261"/>
      </w:tblGrid>
      <w:tr>
        <w:trPr>
          <w:tblHeader w:val="true"/>
        </w:trPr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Thuộc tính 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(Thuộc tính ID được gạch chân)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Phương thức chính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LoaiNGK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maLoai, tenLoai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themLoai(), suaLoai(), xoaLoai()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NuocGiaiKhat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maNGK, tenNGK, donViTinh, donGiaBan, soLuongTon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them(), sua(), xoa(), timKiem(), kiemTraTonKho()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NhaCungUng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maNCU, tenNCU, diaChi, soDienThoai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them(), sua(), xoa()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KhachHang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maKH, tenKH, diaChi, soDienThoai, loaiKhach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them(), sua(), kiemTraNo()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DonDatHang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soDDH, ngayDat, ngayNhan, soDotGiao, trangThai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lapDDH(), inDDH(), kiemTraSoDotGiao()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ChiTietDDH</w:t>
              <w:br/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(lớp liên kết ĐĐH – NGK)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soDDH, maNGK, soLuongDat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PhieuGiaoHang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soPGH, ngayGiao, dotGiao, soTien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lapPGH(), tinhTien()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ChiTietPGH</w:t>
              <w:br/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(lớp liên kết PGH – NGK)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soPGH, maNGK, soLuongGiao, donGiaGiao, thanhTien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HoaDon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soHD, ngayLap, tongTien, hinhThucTT, tinhTrangGiao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lapHoaDon(), tinhTien(), inHoaDon()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ChiTietHoaDon</w:t>
              <w:br/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(lớp liên kết HD – NGK)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soHD, maNGK, soLuong, donGia, thanhTien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PhieuHenGiaoHang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soPhieuHen, ngayLap, ngayHenGiao, soLuongHen, trangThai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lapPhieuHen(), capNhatTrangThai()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PhieuGhiNo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soPhieuNo, ngayLapPhieu, soTienNo, ngayDuKienTra, lyDoNo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lapPhieuGhiNo(), capNhatTinhTrangTra()</w:t>
            </w:r>
          </w:p>
        </w:tc>
      </w:tr>
      <w:tr>
        <w:trPr/>
        <w:tc>
          <w:tcPr>
            <w:tcW w:w="2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NhanVien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maNV, tenNV, chucVu, soDienThoai</w:t>
            </w:r>
          </w:p>
        </w:tc>
        <w:tc>
          <w:tcPr>
            <w:tcW w:w="4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lapDDH(), lapHoaDon(), lapPhieuGhiNo(), xuatBaoCaoTonKho(), xuatBaoCaoDoanhThu()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10101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2E5496"/>
          <w:sz w:val="24"/>
          <w:szCs w:val="24"/>
        </w:rPr>
        <w:t xml:space="preserve">Câu </w:t>
      </w:r>
      <w:r>
        <w:rPr>
          <w:rFonts w:eastAsia="Times New Roman" w:cs="Times New Roman" w:ascii="Times New Roman" w:hAnsi="Times New Roman"/>
          <w:b/>
          <w:bCs/>
          <w:color w:val="2E5496"/>
          <w:sz w:val="24"/>
          <w:szCs w:val="24"/>
        </w:rPr>
        <w:t>3</w:t>
      </w:r>
      <w:r>
        <w:rPr>
          <w:rFonts w:eastAsia="Times New Roman" w:cs="Times New Roman" w:ascii="Times New Roman" w:hAnsi="Times New Roman"/>
          <w:b/>
          <w:bCs/>
          <w:color w:val="2E5496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i/>
          <w:iCs/>
          <w:color w:val="A6A6A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Bảng xác định mối liên kết và bản số (Multiplicity) giữa các Class:</w:t>
      </w:r>
    </w:p>
    <w:tbl>
      <w:tblPr>
        <w:tblW w:w="9404" w:type="dxa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4a0" w:firstRow="1" w:noVBand="1" w:lastRow="0" w:firstColumn="1" w:lastColumn="0" w:noHBand="0"/>
      </w:tblPr>
      <w:tblGrid>
        <w:gridCol w:w="2829"/>
        <w:gridCol w:w="1899"/>
        <w:gridCol w:w="1362"/>
        <w:gridCol w:w="3314"/>
      </w:tblGrid>
      <w:tr>
        <w:trPr>
          <w:tblHeader w:val="true"/>
        </w:trPr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Cặp Class liên kết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Loại quan hệ (Relationship)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Bản số (Multiplicity)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Diễn giải nghiệp vụ theo đề bài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NhaCungUng – LoaiNGK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Mỗi loại NGK chỉ được nhập từ 1 nhà cung ứng. Một NCC có thể cung cấp nhiều loại NGK.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LoaiNGK – NuocGiaiKhat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loại/nhãn hiệu có nhiều mặt hàng NGK; mỗi mặt hàng thuộc về 1 loại duy nhất.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NhaCungUng – DonDatHang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nhà cung ứng có thể nhận nhiều đơn đặt hàng từ cửa hàng.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DonDatHang – NuocGiaiKhat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Many-to-Many 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(qua ChiTietDDH)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1..* – 1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đơn đặt hàng có nhiều mặt hàng NGK; một mặt hàng NGK có thể nằm trong nhiều đơn đặt hàng.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DonDatHang – PhieuGiaoHang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1..3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“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Mỗi ĐĐH có thể giao tối đa 3 đợt"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 Do đó một đơn đặt hàng có từ 1 đến 3 phiếu giao hàng tương ứng.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PhieuGiaoHang – NuocGiaiKhat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Many-to-Many 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(qua ChiTietPGH)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1..* – 1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Mỗi phiếu giao hàng chi tiết số lượng của nhiều mặt hàng được giao kèm theo đơn giá.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KhachHang – HoaDon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khách hàng có thể mua nhiều lần và có nhiều hóa đơn.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HoaDon – NuocGiaiKhat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Many-to-Many 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4"/>
              </w:rPr>
              <w:t>(qua ChiTietHoaDon)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1..* – 1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hóa đơn có nhiều mặt hàng NGK được mua với số lượng và đơn giá cụ thể.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HoaDon – PhieuHenGiaoHang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Đối với khách quen khi kho thiếu hàng, một hóa đơn có thể phát sinh nhiều đợt hẹn giao hàng qua các phiếu hẹn.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HoaDon – PhieuGhiNo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0..1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Khách quen được phép trả chậm, mỗi hóa đơn nợ có tối đa 1 phiếu ghi nợ.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KhachHang – PhieuGhiNo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khách quen có thể có nhiều phiếu ghi nợ qua các lần mua hàng khác nhau.</w:t>
            </w:r>
          </w:p>
        </w:tc>
      </w:tr>
      <w:tr>
        <w:trPr/>
        <w:tc>
          <w:tcPr>
            <w:tcW w:w="2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NhanVien – DonDatHang / 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HoaDon / PhieuGhiNo</w:t>
            </w:r>
          </w:p>
        </w:tc>
        <w:tc>
          <w:tcPr>
            <w:tcW w:w="1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Association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 – 0..*</w:t>
            </w:r>
          </w:p>
        </w:tc>
        <w:tc>
          <w:tcPr>
            <w:tcW w:w="3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Một nhân viên chịu trách nhiệm lập nhiều đơn đặt hàng, hóa đơn và phiếu ghi nợ.</w:t>
            </w:r>
          </w:p>
        </w:tc>
      </w:tr>
    </w:tbl>
    <w:p>
      <w:pPr>
        <w:pStyle w:val="Normal"/>
        <w:rPr>
          <w:lang w:val="vi-VN"/>
        </w:rPr>
      </w:pPr>
      <w:r>
        <w:rPr/>
      </w:r>
    </w:p>
    <w:sectPr>
      <w:type w:val="nextPage"/>
      <w:pgSz w:w="11906" w:h="16838"/>
      <w:pgMar w:left="1413" w:right="1073" w:gutter="0" w:header="0" w:top="1115" w:footer="0" w:bottom="74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  <w:embedRegular r:id="rId5" w:fontKey="{05014A78-CABC-4EF0-12AC-5CD89AEFDE0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337436"/>
    <w:rPr>
      <w:b/>
      <w:bCs/>
    </w:rPr>
  </w:style>
  <w:style w:type="character" w:styleId="Emphasis">
    <w:name w:val="Emphasis"/>
    <w:basedOn w:val="DefaultParagraphFont"/>
    <w:uiPriority w:val="20"/>
    <w:qFormat/>
    <w:rsid w:val="00337436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57aad"/>
    <w:pPr>
      <w:spacing w:before="0" w:after="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3B7C0-F298-4290-98E9-19A5F5424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LibreOffice/26.2.5.2$Windows_X86_64 LibreOffice_project/cd7284b4cbbfeb507e630c1aac019f4157393acb</Application>
  <AppVersion>15.0000</AppVersion>
  <Pages>3</Pages>
  <Words>650</Words>
  <Characters>3202</Characters>
  <CharactersWithSpaces>3745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2026-09-11T09:23:00Z</dcterms:created>
  <dc:creator/>
  <dc:description/>
  <dc:language>en-US</dc:language>
  <cp:lastModifiedBy/>
  <dcterms:modified xsi:type="dcterms:W3CDTF">2026-09-11T22:25:52Z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