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9"/>
          <w:sz w:val="68"/>
        </w:rPr>
        <w:t>PEKEGNO</w:t>
      </w:r>
    </w:p>
    <w:p>
      <w:pPr>
        <w:jc w:val="center"/>
      </w:pPr>
      <w:r>
        <w:rPr>
          <w:b/>
          <w:sz w:val="48"/>
        </w:rPr>
        <w:t>MANAGEMENT SYSTEM</w:t>
      </w:r>
    </w:p>
    <w:p>
      <w:pPr>
        <w:spacing w:before="400"/>
        <w:jc w:val="center"/>
      </w:pPr>
      <w:r>
        <w:rPr>
          <w:i/>
          <w:sz w:val="32"/>
        </w:rPr>
        <w:t>Cahier des charges fonctionnel &amp; Architecture UX</w:t>
      </w:r>
    </w:p>
    <w:p>
      <w:pPr>
        <w:spacing w:before="700"/>
        <w:jc w:val="center"/>
      </w:pPr>
      <w:r>
        <w:rPr>
          <w:sz w:val="22"/>
        </w:rPr>
        <w:t>Version de travail modifiable — Août 2026</w:t>
      </w:r>
    </w:p>
    <w:p>
      <w:pPr>
        <w:spacing w:before="1600"/>
        <w:jc w:val="center"/>
      </w:pPr>
      <w:r>
        <w:rPr>
          <w:b/>
        </w:rPr>
        <w:t>Périmètre initial : Pekegno Cameroun &amp; Pekegno Côte d’Ivoire</w:t>
      </w:r>
    </w:p>
    <w:p>
      <w:r>
        <w:br w:type="page"/>
      </w:r>
    </w:p>
    <w:p>
      <w:pPr>
        <w:pStyle w:val="Heading1"/>
      </w:pPr>
      <w:r>
        <w:t>1. Objet du document</w:t>
      </w:r>
    </w:p>
    <w:p>
      <w:r>
        <w:t>Ce document définit l’architecture fonctionnelle cible de l’application web Pekegno Management System. Il sert de base de travail entre la direction de Pekegno, l’équipe produit/UX et l’équipe de développement. Il est volontairement modifiable : les règles métier, seuils, formules et écrans pourront être précisés pendant les ateliers de cadrage.</w:t>
      </w:r>
    </w:p>
    <w:p>
      <w:r>
        <w:t>Principe directeur : les anciens Google Sheets constituent une source de compréhension des processus et des données historiques, mais ne doivent pas être reproduits tels quels. Une opération métier doit être saisie une seule fois puis alimenter automatiquement les soldes, commissions, tableaux de bord, rapports et historiques concernés.</w:t>
      </w:r>
    </w:p>
    <w:p>
      <w:pPr>
        <w:pStyle w:val="Heading1"/>
      </w:pPr>
      <w:r>
        <w:t>2. Objectifs métier</w:t>
      </w:r>
    </w:p>
    <w:p>
      <w:pPr>
        <w:pStyle w:val="ListBullet"/>
        <w:spacing w:after="40"/>
      </w:pPr>
      <w:r>
        <w:t>Centraliser les données de Pekegno Cameroun et Pekegno Côte d’Ivoire dans une architecture commune.</w:t>
      </w:r>
    </w:p>
    <w:p>
      <w:pPr>
        <w:pStyle w:val="ListBullet"/>
        <w:spacing w:after="40"/>
      </w:pPr>
      <w:r>
        <w:t>Réduire les doubles saisies, calculs manuels et risques d’erreur.</w:t>
      </w:r>
    </w:p>
    <w:p>
      <w:pPr>
        <w:pStyle w:val="ListBullet"/>
        <w:spacing w:after="40"/>
      </w:pPr>
      <w:r>
        <w:t>Automatiser le suivi des ventes, paiements, créances, dépenses, trésorerie, renouvellements et commissions.</w:t>
      </w:r>
    </w:p>
    <w:p>
      <w:pPr>
        <w:pStyle w:val="ListBullet"/>
        <w:spacing w:after="40"/>
      </w:pPr>
      <w:r>
        <w:t>Donner à chaque collaborateur une interface adaptée à son rôle et à son périmètre.</w:t>
      </w:r>
    </w:p>
    <w:p>
      <w:pPr>
        <w:pStyle w:val="ListBullet"/>
        <w:spacing w:after="40"/>
      </w:pPr>
      <w:r>
        <w:t>Permettre au management de descendre d’un KPI Groupe jusqu’à la transaction source.</w:t>
      </w:r>
    </w:p>
    <w:p>
      <w:pPr>
        <w:pStyle w:val="ListBullet"/>
        <w:spacing w:after="40"/>
      </w:pPr>
      <w:r>
        <w:t>Préparer l’extension à de nouveaux pays, agences, branches, produits et utilisateurs.</w:t>
      </w:r>
    </w:p>
    <w:p>
      <w:pPr>
        <w:pStyle w:val="ListBullet"/>
        <w:spacing w:after="40"/>
      </w:pPr>
      <w:r>
        <w:t>Conserver un historique auditable des opérations et modifications sensibles.</w:t>
      </w:r>
    </w:p>
    <w:p>
      <w:pPr>
        <w:pStyle w:val="Heading1"/>
      </w:pPr>
      <w:r>
        <w:t>3. Architecture organisationnelle</w:t>
      </w:r>
    </w:p>
    <w:p>
      <w:pPr>
        <w:spacing w:before="60" w:after="120"/>
        <w:ind w:left="360"/>
      </w:pPr>
      <w:r>
        <w:rPr>
          <w:rFonts w:ascii="Consolas" w:hAnsi="Consolas"/>
          <w:sz w:val="17"/>
        </w:rPr>
        <w:t>PEKEGNO GROUP</w:t>
        <w:br/>
        <w:t>├── CAMEROUN</w:t>
        <w:br/>
        <w:t>│   ├── DOUALA</w:t>
        <w:br/>
        <w:t>│   │   ├── ACADEMY</w:t>
        <w:br/>
        <w:t>│   │   ├── AGENCY</w:t>
        <w:br/>
        <w:t>│   │   ├── STORE</w:t>
        <w:br/>
        <w:t>│   │   └── STUDIO</w:t>
        <w:br/>
        <w:t>│   └── YAOUNDÉ</w:t>
        <w:br/>
        <w:t>│       ├── ACADEMY</w:t>
        <w:br/>
        <w:t>│       ├── AGENCY</w:t>
        <w:br/>
        <w:t>│       ├── STORE</w:t>
        <w:br/>
        <w:t>│       └── STUDIO</w:t>
        <w:br/>
        <w:t>└── CÔTE D’IVOIRE</w:t>
        <w:br/>
        <w:t xml:space="preserve">    └── ABIDJAN</w:t>
        <w:br/>
        <w:t xml:space="preserve">        ├── ACADEMY</w:t>
        <w:br/>
        <w:t xml:space="preserve">        ├── AGENCY</w:t>
        <w:br/>
        <w:t xml:space="preserve">        ├── STORE</w:t>
        <w:br/>
        <w:t xml:space="preserve">        └── STUDIO</w:t>
      </w:r>
    </w:p>
    <w:p>
      <w:r>
        <w:t>Cette structure doit être configurable. Les pays, agences et branches ne doivent pas être codés en dur.</w:t>
      </w:r>
    </w:p>
    <w:p>
      <w:pPr>
        <w:pStyle w:val="Heading1"/>
      </w:pPr>
      <w:r>
        <w:t>4. Architecture UX et navigation</w:t>
      </w:r>
    </w:p>
    <w:p>
      <w:pPr>
        <w:pStyle w:val="Heading2"/>
      </w:pPr>
      <w:r>
        <w:t>4.1 Sélecteur de contexte permanent</w:t>
      </w:r>
    </w:p>
    <w:p>
      <w:r>
        <w:t>L’utilisateur ne doit pas parcourir Groupe &gt; Pays &gt; Agence &gt; Branche à chaque action. Un sélecteur de contexte permanent doit permettre de changer rapidement le périmètre affiché.</w:t>
      </w:r>
    </w:p>
    <w:p>
      <w:pPr>
        <w:spacing w:before="60" w:after="120"/>
        <w:ind w:left="360"/>
      </w:pPr>
      <w:r>
        <w:rPr>
          <w:rFonts w:ascii="Consolas" w:hAnsi="Consolas"/>
          <w:sz w:val="17"/>
        </w:rPr>
        <w:t>PEKEGNO  |  Pays ▼  |  Agence ▼  |  Branche ▼  |  Période ▼  |  Recherche  |  Notifications  |  Profil</w:t>
      </w:r>
    </w:p>
    <w:p>
      <w:pPr>
        <w:pStyle w:val="Heading2"/>
      </w:pPr>
      <w:r>
        <w:t>4.2 Menu principal recommandé</w:t>
      </w:r>
    </w:p>
    <w:p>
      <w:pPr>
        <w:spacing w:before="60" w:after="120"/>
        <w:ind w:left="360"/>
      </w:pPr>
      <w:r>
        <w:rPr>
          <w:rFonts w:ascii="Consolas" w:hAnsi="Consolas"/>
          <w:sz w:val="17"/>
        </w:rPr>
        <w:t>COMMAND CENTER</w:t>
        <w:br/>
        <w:t>CRM</w:t>
        <w:br/>
        <w:t>VENTES</w:t>
        <w:br/>
        <w:t>ACADEMY</w:t>
        <w:br/>
        <w:t>AGENCY</w:t>
        <w:br/>
        <w:t>STORE</w:t>
        <w:br/>
        <w:t>STUDIO</w:t>
        <w:br/>
        <w:t>FINANCE</w:t>
        <w:br/>
        <w:t>COMMISSIONS</w:t>
        <w:br/>
        <w:t>RAPPORTS</w:t>
        <w:br/>
        <w:t>ÉQUIPE</w:t>
        <w:br/>
        <w:t>ADMINISTRATION</w:t>
      </w:r>
    </w:p>
    <w:p>
      <w:pPr>
        <w:pStyle w:val="Heading1"/>
      </w:pPr>
      <w:r>
        <w:t>5. Command Center</w:t>
      </w:r>
    </w:p>
    <w:p>
      <w:r>
        <w:t>Le Super Admin arrive par défaut sur une vue Groupe consolidée.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rFonts w:ascii="Aptos" w:hAnsi="Aptos"/>
                <w:b/>
                <w:color w:val="FFFFFF"/>
                <w:sz w:val="17"/>
              </w:rPr>
              <w:t>KPI</w:t>
            </w:r>
          </w:p>
        </w:tc>
        <w:tc>
          <w:tcPr>
            <w:tcW w:type="dxa" w:w="7200"/>
            <w:vAlign w:val="center"/>
            <w:shd w:fill="1F4E79"/>
          </w:tcPr>
          <w:p>
            <w:r/>
            <w:r>
              <w:rPr>
                <w:rFonts w:ascii="Aptos" w:hAnsi="Aptos"/>
                <w:b/>
                <w:color w:val="FFFFFF"/>
                <w:sz w:val="17"/>
              </w:rPr>
              <w:t>Contenu attendu</w:t>
            </w:r>
          </w:p>
        </w:tc>
      </w:tr>
      <w:tr>
        <w:tc>
          <w:tcPr>
            <w:tcW w:type="dxa" w:w="2880"/>
            <w:vAlign w:val="center"/>
          </w:tcPr>
          <w:p>
            <w:r/>
            <w:r>
              <w:rPr>
                <w:rFonts w:ascii="Aptos" w:hAnsi="Aptos"/>
                <w:b w:val="0"/>
                <w:sz w:val="17"/>
              </w:rPr>
              <w:t>Chiffre d’affaires</w:t>
            </w:r>
          </w:p>
        </w:tc>
        <w:tc>
          <w:tcPr>
            <w:tcW w:type="dxa" w:w="7200"/>
            <w:vAlign w:val="center"/>
          </w:tcPr>
          <w:p>
            <w:r/>
            <w:r>
              <w:rPr>
                <w:rFonts w:ascii="Aptos" w:hAnsi="Aptos"/>
                <w:b w:val="0"/>
                <w:sz w:val="17"/>
              </w:rPr>
              <w:t>Valeur période + comparaison période précédente</w:t>
            </w:r>
          </w:p>
        </w:tc>
      </w:tr>
      <w:tr>
        <w:tc>
          <w:tcPr>
            <w:tcW w:type="dxa" w:w="2880"/>
            <w:vAlign w:val="center"/>
          </w:tcPr>
          <w:p>
            <w:r/>
            <w:r>
              <w:rPr>
                <w:rFonts w:ascii="Aptos" w:hAnsi="Aptos"/>
                <w:b w:val="0"/>
                <w:sz w:val="17"/>
              </w:rPr>
              <w:t>Encaissements</w:t>
            </w:r>
          </w:p>
        </w:tc>
        <w:tc>
          <w:tcPr>
            <w:tcW w:type="dxa" w:w="7200"/>
            <w:vAlign w:val="center"/>
          </w:tcPr>
          <w:p>
            <w:r/>
            <w:r>
              <w:rPr>
                <w:rFonts w:ascii="Aptos" w:hAnsi="Aptos"/>
                <w:b w:val="0"/>
                <w:sz w:val="17"/>
              </w:rPr>
              <w:t>Paiements validés reçus pendant la période</w:t>
            </w:r>
          </w:p>
        </w:tc>
      </w:tr>
      <w:tr>
        <w:tc>
          <w:tcPr>
            <w:tcW w:type="dxa" w:w="2880"/>
            <w:vAlign w:val="center"/>
          </w:tcPr>
          <w:p>
            <w:r/>
            <w:r>
              <w:rPr>
                <w:rFonts w:ascii="Aptos" w:hAnsi="Aptos"/>
                <w:b w:val="0"/>
                <w:sz w:val="17"/>
              </w:rPr>
              <w:t>Créances</w:t>
            </w:r>
          </w:p>
        </w:tc>
        <w:tc>
          <w:tcPr>
            <w:tcW w:type="dxa" w:w="7200"/>
            <w:vAlign w:val="center"/>
          </w:tcPr>
          <w:p>
            <w:r/>
            <w:r>
              <w:rPr>
                <w:rFonts w:ascii="Aptos" w:hAnsi="Aptos"/>
                <w:b w:val="0"/>
                <w:sz w:val="17"/>
              </w:rPr>
              <w:t>Montants restant dus selon les règles métier validées</w:t>
            </w:r>
          </w:p>
        </w:tc>
      </w:tr>
      <w:tr>
        <w:tc>
          <w:tcPr>
            <w:tcW w:type="dxa" w:w="2880"/>
            <w:vAlign w:val="center"/>
          </w:tcPr>
          <w:p>
            <w:r/>
            <w:r>
              <w:rPr>
                <w:rFonts w:ascii="Aptos" w:hAnsi="Aptos"/>
                <w:b w:val="0"/>
                <w:sz w:val="17"/>
              </w:rPr>
              <w:t>Dépenses</w:t>
            </w:r>
          </w:p>
        </w:tc>
        <w:tc>
          <w:tcPr>
            <w:tcW w:type="dxa" w:w="7200"/>
            <w:vAlign w:val="center"/>
          </w:tcPr>
          <w:p>
            <w:r/>
            <w:r>
              <w:rPr>
                <w:rFonts w:ascii="Aptos" w:hAnsi="Aptos"/>
                <w:b w:val="0"/>
                <w:sz w:val="17"/>
              </w:rPr>
              <w:t>Dépenses validées pendant la période</w:t>
            </w:r>
          </w:p>
        </w:tc>
      </w:tr>
      <w:tr>
        <w:tc>
          <w:tcPr>
            <w:tcW w:type="dxa" w:w="2880"/>
            <w:vAlign w:val="center"/>
          </w:tcPr>
          <w:p>
            <w:r/>
            <w:r>
              <w:rPr>
                <w:rFonts w:ascii="Aptos" w:hAnsi="Aptos"/>
                <w:b w:val="0"/>
                <w:sz w:val="17"/>
              </w:rPr>
              <w:t>Trésorerie</w:t>
            </w:r>
          </w:p>
        </w:tc>
        <w:tc>
          <w:tcPr>
            <w:tcW w:type="dxa" w:w="7200"/>
            <w:vAlign w:val="center"/>
          </w:tcPr>
          <w:p>
            <w:r/>
            <w:r>
              <w:rPr>
                <w:rFonts w:ascii="Aptos" w:hAnsi="Aptos"/>
                <w:b w:val="0"/>
                <w:sz w:val="17"/>
              </w:rPr>
              <w:t>Soldes par caisse, Mobile Money et banque</w:t>
            </w:r>
          </w:p>
        </w:tc>
      </w:tr>
      <w:tr>
        <w:tc>
          <w:tcPr>
            <w:tcW w:type="dxa" w:w="2880"/>
            <w:vAlign w:val="center"/>
          </w:tcPr>
          <w:p>
            <w:r/>
            <w:r>
              <w:rPr>
                <w:rFonts w:ascii="Aptos" w:hAnsi="Aptos"/>
                <w:b w:val="0"/>
                <w:sz w:val="17"/>
              </w:rPr>
              <w:t>Performance</w:t>
            </w:r>
          </w:p>
        </w:tc>
        <w:tc>
          <w:tcPr>
            <w:tcW w:type="dxa" w:w="7200"/>
            <w:vAlign w:val="center"/>
          </w:tcPr>
          <w:p>
            <w:r/>
            <w:r>
              <w:rPr>
                <w:rFonts w:ascii="Aptos" w:hAnsi="Aptos"/>
                <w:b w:val="0"/>
                <w:sz w:val="17"/>
              </w:rPr>
              <w:t>Pays, agences, branches, produits et commerciaux</w:t>
            </w:r>
          </w:p>
        </w:tc>
      </w:tr>
      <w:tr>
        <w:tc>
          <w:tcPr>
            <w:tcW w:type="dxa" w:w="2880"/>
            <w:vAlign w:val="center"/>
          </w:tcPr>
          <w:p>
            <w:r/>
            <w:r>
              <w:rPr>
                <w:rFonts w:ascii="Aptos" w:hAnsi="Aptos"/>
                <w:b w:val="0"/>
                <w:sz w:val="17"/>
              </w:rPr>
              <w:t>Alertes</w:t>
            </w:r>
          </w:p>
        </w:tc>
        <w:tc>
          <w:tcPr>
            <w:tcW w:type="dxa" w:w="7200"/>
            <w:vAlign w:val="center"/>
          </w:tcPr>
          <w:p>
            <w:r/>
            <w:r>
              <w:rPr>
                <w:rFonts w:ascii="Aptos" w:hAnsi="Aptos"/>
                <w:b w:val="0"/>
                <w:sz w:val="17"/>
              </w:rPr>
              <w:t>Créances, renouvellements, validations, stocks, anomalies</w:t>
            </w:r>
          </w:p>
        </w:tc>
      </w:tr>
    </w:tbl>
    <w:p/>
    <w:p>
      <w:r>
        <w:t>Les KPI doivent permettre un drill-down : Groupe → Pays → Agence → Branche → Produit/Commercial → Client → Transaction.</w:t>
      </w:r>
    </w:p>
    <w:p>
      <w:pPr>
        <w:pStyle w:val="Heading1"/>
      </w:pPr>
      <w:r>
        <w:t>6. CRM central</w:t>
      </w:r>
    </w:p>
    <w:p>
      <w:pPr>
        <w:pStyle w:val="ListBullet"/>
        <w:spacing w:after="40"/>
      </w:pPr>
      <w:r>
        <w:t>Prospects</w:t>
      </w:r>
    </w:p>
    <w:p>
      <w:pPr>
        <w:pStyle w:val="ListBullet"/>
        <w:spacing w:after="40"/>
      </w:pPr>
      <w:r>
        <w:t>Clients</w:t>
      </w:r>
    </w:p>
    <w:p>
      <w:pPr>
        <w:pStyle w:val="ListBullet"/>
        <w:spacing w:after="40"/>
      </w:pPr>
      <w:r>
        <w:t>Entreprises</w:t>
      </w:r>
    </w:p>
    <w:p>
      <w:pPr>
        <w:pStyle w:val="ListBullet"/>
        <w:spacing w:after="40"/>
      </w:pPr>
      <w:r>
        <w:t>Opportunités</w:t>
      </w:r>
    </w:p>
    <w:p>
      <w:pPr>
        <w:pStyle w:val="ListBullet"/>
        <w:spacing w:after="40"/>
      </w:pPr>
      <w:r>
        <w:t>Pipeline commercial</w:t>
      </w:r>
    </w:p>
    <w:p>
      <w:pPr>
        <w:pStyle w:val="ListBullet"/>
        <w:spacing w:after="40"/>
      </w:pPr>
      <w:r>
        <w:t>Relances et activités</w:t>
      </w:r>
    </w:p>
    <w:p>
      <w:pPr>
        <w:pStyle w:val="ListBullet"/>
        <w:spacing w:after="40"/>
      </w:pPr>
      <w:r>
        <w:t>Historique relationnel</w:t>
      </w:r>
    </w:p>
    <w:p>
      <w:pPr>
        <w:pStyle w:val="Heading2"/>
      </w:pPr>
      <w:r>
        <w:t>6.1 Fiche prospect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Bloc</w:t>
            </w:r>
          </w:p>
        </w:tc>
        <w:tc>
          <w:tcPr>
            <w:tcW w:type="dxa" w:w="5112"/>
            <w:vAlign w:val="center"/>
            <w:shd w:fill="1F4E79"/>
          </w:tcPr>
          <w:p>
            <w:r/>
            <w:r>
              <w:rPr>
                <w:rFonts w:ascii="Aptos" w:hAnsi="Aptos"/>
                <w:b/>
                <w:color w:val="FFFFFF"/>
                <w:sz w:val="17"/>
              </w:rPr>
              <w:t>Champs principaux</w:t>
            </w:r>
          </w:p>
        </w:tc>
      </w:tr>
      <w:tr>
        <w:tc>
          <w:tcPr>
            <w:tcW w:type="dxa" w:w="5112"/>
            <w:vAlign w:val="center"/>
          </w:tcPr>
          <w:p>
            <w:r/>
            <w:r>
              <w:rPr>
                <w:rFonts w:ascii="Aptos" w:hAnsi="Aptos"/>
                <w:b w:val="0"/>
                <w:sz w:val="17"/>
              </w:rPr>
              <w:t>Identité</w:t>
            </w:r>
          </w:p>
        </w:tc>
        <w:tc>
          <w:tcPr>
            <w:tcW w:type="dxa" w:w="5112"/>
            <w:vAlign w:val="center"/>
          </w:tcPr>
          <w:p>
            <w:r/>
            <w:r>
              <w:rPr>
                <w:rFonts w:ascii="Aptos" w:hAnsi="Aptos"/>
                <w:b w:val="0"/>
                <w:sz w:val="17"/>
              </w:rPr>
              <w:t>Nom, téléphone, WhatsApp, email, entreprise, ville, pays</w:t>
            </w:r>
          </w:p>
        </w:tc>
      </w:tr>
      <w:tr>
        <w:tc>
          <w:tcPr>
            <w:tcW w:type="dxa" w:w="5112"/>
            <w:vAlign w:val="center"/>
          </w:tcPr>
          <w:p>
            <w:r/>
            <w:r>
              <w:rPr>
                <w:rFonts w:ascii="Aptos" w:hAnsi="Aptos"/>
                <w:b w:val="0"/>
                <w:sz w:val="17"/>
              </w:rPr>
              <w:t>Acquisition</w:t>
            </w:r>
          </w:p>
        </w:tc>
        <w:tc>
          <w:tcPr>
            <w:tcW w:type="dxa" w:w="5112"/>
            <w:vAlign w:val="center"/>
          </w:tcPr>
          <w:p>
            <w:r/>
            <w:r>
              <w:rPr>
                <w:rFonts w:ascii="Aptos" w:hAnsi="Aptos"/>
                <w:b w:val="0"/>
                <w:sz w:val="17"/>
              </w:rPr>
              <w:t>Source, campagne/source commerciale si applicable</w:t>
            </w:r>
          </w:p>
        </w:tc>
      </w:tr>
      <w:tr>
        <w:tc>
          <w:tcPr>
            <w:tcW w:type="dxa" w:w="5112"/>
            <w:vAlign w:val="center"/>
          </w:tcPr>
          <w:p>
            <w:r/>
            <w:r>
              <w:rPr>
                <w:rFonts w:ascii="Aptos" w:hAnsi="Aptos"/>
                <w:b w:val="0"/>
                <w:sz w:val="17"/>
              </w:rPr>
              <w:t>Intérêt</w:t>
            </w:r>
          </w:p>
        </w:tc>
        <w:tc>
          <w:tcPr>
            <w:tcW w:type="dxa" w:w="5112"/>
            <w:vAlign w:val="center"/>
          </w:tcPr>
          <w:p>
            <w:r/>
            <w:r>
              <w:rPr>
                <w:rFonts w:ascii="Aptos" w:hAnsi="Aptos"/>
                <w:b w:val="0"/>
                <w:sz w:val="17"/>
              </w:rPr>
              <w:t>Academy, Agency, Store, Studio, produit/service</w:t>
            </w:r>
          </w:p>
        </w:tc>
      </w:tr>
      <w:tr>
        <w:tc>
          <w:tcPr>
            <w:tcW w:type="dxa" w:w="5112"/>
            <w:vAlign w:val="center"/>
          </w:tcPr>
          <w:p>
            <w:r/>
            <w:r>
              <w:rPr>
                <w:rFonts w:ascii="Aptos" w:hAnsi="Aptos"/>
                <w:b w:val="0"/>
                <w:sz w:val="17"/>
              </w:rPr>
              <w:t>Responsable</w:t>
            </w:r>
          </w:p>
        </w:tc>
        <w:tc>
          <w:tcPr>
            <w:tcW w:type="dxa" w:w="5112"/>
            <w:vAlign w:val="center"/>
          </w:tcPr>
          <w:p>
            <w:r/>
            <w:r>
              <w:rPr>
                <w:rFonts w:ascii="Aptos" w:hAnsi="Aptos"/>
                <w:b w:val="0"/>
                <w:sz w:val="17"/>
              </w:rPr>
              <w:t>Commercial assigné, agence, équipe</w:t>
            </w:r>
          </w:p>
        </w:tc>
      </w:tr>
      <w:tr>
        <w:tc>
          <w:tcPr>
            <w:tcW w:type="dxa" w:w="5112"/>
            <w:vAlign w:val="center"/>
          </w:tcPr>
          <w:p>
            <w:r/>
            <w:r>
              <w:rPr>
                <w:rFonts w:ascii="Aptos" w:hAnsi="Aptos"/>
                <w:b w:val="0"/>
                <w:sz w:val="17"/>
              </w:rPr>
              <w:t>Pipeline</w:t>
            </w:r>
          </w:p>
        </w:tc>
        <w:tc>
          <w:tcPr>
            <w:tcW w:type="dxa" w:w="5112"/>
            <w:vAlign w:val="center"/>
          </w:tcPr>
          <w:p>
            <w:r/>
            <w:r>
              <w:rPr>
                <w:rFonts w:ascii="Aptos" w:hAnsi="Aptos"/>
                <w:b w:val="0"/>
                <w:sz w:val="17"/>
              </w:rPr>
              <w:t>Nouveau, contacté, qualifié, proposition, négociation, gagné, perdu</w:t>
            </w:r>
          </w:p>
        </w:tc>
      </w:tr>
      <w:tr>
        <w:tc>
          <w:tcPr>
            <w:tcW w:type="dxa" w:w="5112"/>
            <w:vAlign w:val="center"/>
          </w:tcPr>
          <w:p>
            <w:r/>
            <w:r>
              <w:rPr>
                <w:rFonts w:ascii="Aptos" w:hAnsi="Aptos"/>
                <w:b w:val="0"/>
                <w:sz w:val="17"/>
              </w:rPr>
              <w:t>Activités</w:t>
            </w:r>
          </w:p>
        </w:tc>
        <w:tc>
          <w:tcPr>
            <w:tcW w:type="dxa" w:w="5112"/>
            <w:vAlign w:val="center"/>
          </w:tcPr>
          <w:p>
            <w:r/>
            <w:r>
              <w:rPr>
                <w:rFonts w:ascii="Aptos" w:hAnsi="Aptos"/>
                <w:b w:val="0"/>
                <w:sz w:val="17"/>
              </w:rPr>
              <w:t>Appels, rendez-vous, relances, notes</w:t>
            </w:r>
          </w:p>
        </w:tc>
      </w:tr>
    </w:tbl>
    <w:p/>
    <w:p>
      <w:pPr>
        <w:pStyle w:val="Heading1"/>
      </w:pPr>
      <w:r>
        <w:t>7. Pekegno Academy</w:t>
      </w:r>
    </w:p>
    <w:p>
      <w:pPr>
        <w:spacing w:before="60" w:after="120"/>
        <w:ind w:left="360"/>
      </w:pPr>
      <w:r>
        <w:rPr>
          <w:rFonts w:ascii="Consolas" w:hAnsi="Consolas"/>
          <w:sz w:val="17"/>
        </w:rPr>
        <w:t>ACADEMY</w:t>
        <w:br/>
        <w:t>├── Dashboard</w:t>
        <w:br/>
        <w:t>├── Prospects</w:t>
        <w:br/>
        <w:t>├── Apprenants</w:t>
        <w:br/>
        <w:t>├── Inscriptions</w:t>
        <w:br/>
        <w:t>├── Formations</w:t>
        <w:br/>
        <w:t>│   ├── Catalogue</w:t>
        <w:br/>
        <w:t>│   ├── Sessions</w:t>
        <w:br/>
        <w:t>│   ├── Planning</w:t>
        <w:br/>
        <w:t>│   └── Formateurs</w:t>
        <w:br/>
        <w:t>├── Présences</w:t>
        <w:br/>
        <w:t>├── Paiements</w:t>
        <w:br/>
        <w:t>├── Créances</w:t>
        <w:br/>
        <w:t>├── Certificats</w:t>
        <w:br/>
        <w:t>├── Performances commerciales</w:t>
        <w:br/>
        <w:t>└── Rapports</w:t>
      </w:r>
    </w:p>
    <w:p>
      <w:pPr>
        <w:pStyle w:val="Heading2"/>
      </w:pPr>
      <w:r>
        <w:t>7.1 Fiche apprenant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Section</w:t>
            </w:r>
          </w:p>
        </w:tc>
        <w:tc>
          <w:tcPr>
            <w:tcW w:type="dxa" w:w="5112"/>
            <w:vAlign w:val="center"/>
            <w:shd w:fill="1F4E79"/>
          </w:tcPr>
          <w:p>
            <w:r/>
            <w:r>
              <w:rPr>
                <w:rFonts w:ascii="Aptos" w:hAnsi="Aptos"/>
                <w:b/>
                <w:color w:val="FFFFFF"/>
                <w:sz w:val="17"/>
              </w:rPr>
              <w:t>Informations / actions</w:t>
            </w:r>
          </w:p>
        </w:tc>
      </w:tr>
      <w:tr>
        <w:tc>
          <w:tcPr>
            <w:tcW w:type="dxa" w:w="5112"/>
            <w:vAlign w:val="center"/>
          </w:tcPr>
          <w:p>
            <w:r/>
            <w:r>
              <w:rPr>
                <w:rFonts w:ascii="Aptos" w:hAnsi="Aptos"/>
                <w:b w:val="0"/>
                <w:sz w:val="17"/>
              </w:rPr>
              <w:t>Identité</w:t>
            </w:r>
          </w:p>
        </w:tc>
        <w:tc>
          <w:tcPr>
            <w:tcW w:type="dxa" w:w="5112"/>
            <w:vAlign w:val="center"/>
          </w:tcPr>
          <w:p>
            <w:r/>
            <w:r>
              <w:rPr>
                <w:rFonts w:ascii="Aptos" w:hAnsi="Aptos"/>
                <w:b w:val="0"/>
                <w:sz w:val="17"/>
              </w:rPr>
              <w:t>Nom, téléphone, email, ville, pays</w:t>
            </w:r>
          </w:p>
        </w:tc>
      </w:tr>
      <w:tr>
        <w:tc>
          <w:tcPr>
            <w:tcW w:type="dxa" w:w="5112"/>
            <w:vAlign w:val="center"/>
          </w:tcPr>
          <w:p>
            <w:r/>
            <w:r>
              <w:rPr>
                <w:rFonts w:ascii="Aptos" w:hAnsi="Aptos"/>
                <w:b w:val="0"/>
                <w:sz w:val="17"/>
              </w:rPr>
              <w:t>Inscription</w:t>
            </w:r>
          </w:p>
        </w:tc>
        <w:tc>
          <w:tcPr>
            <w:tcW w:type="dxa" w:w="5112"/>
            <w:vAlign w:val="center"/>
          </w:tcPr>
          <w:p>
            <w:r/>
            <w:r>
              <w:rPr>
                <w:rFonts w:ascii="Aptos" w:hAnsi="Aptos"/>
                <w:b w:val="0"/>
                <w:sz w:val="17"/>
              </w:rPr>
              <w:t>Formation, session, agence, commercial, date</w:t>
            </w:r>
          </w:p>
        </w:tc>
      </w:tr>
      <w:tr>
        <w:tc>
          <w:tcPr>
            <w:tcW w:type="dxa" w:w="5112"/>
            <w:vAlign w:val="center"/>
          </w:tcPr>
          <w:p>
            <w:r/>
            <w:r>
              <w:rPr>
                <w:rFonts w:ascii="Aptos" w:hAnsi="Aptos"/>
                <w:b w:val="0"/>
                <w:sz w:val="17"/>
              </w:rPr>
              <w:t>Finance</w:t>
            </w:r>
          </w:p>
        </w:tc>
        <w:tc>
          <w:tcPr>
            <w:tcW w:type="dxa" w:w="5112"/>
            <w:vAlign w:val="center"/>
          </w:tcPr>
          <w:p>
            <w:r/>
            <w:r>
              <w:rPr>
                <w:rFonts w:ascii="Aptos" w:hAnsi="Aptos"/>
                <w:b w:val="0"/>
                <w:sz w:val="17"/>
              </w:rPr>
              <w:t>Prix contractuel, total payé calculé, solde calculé, échéances</w:t>
            </w:r>
          </w:p>
        </w:tc>
      </w:tr>
      <w:tr>
        <w:tc>
          <w:tcPr>
            <w:tcW w:type="dxa" w:w="5112"/>
            <w:vAlign w:val="center"/>
          </w:tcPr>
          <w:p>
            <w:r/>
            <w:r>
              <w:rPr>
                <w:rFonts w:ascii="Aptos" w:hAnsi="Aptos"/>
                <w:b w:val="0"/>
                <w:sz w:val="17"/>
              </w:rPr>
              <w:t>Paiements</w:t>
            </w:r>
          </w:p>
        </w:tc>
        <w:tc>
          <w:tcPr>
            <w:tcW w:type="dxa" w:w="5112"/>
            <w:vAlign w:val="center"/>
          </w:tcPr>
          <w:p>
            <w:r/>
            <w:r>
              <w:rPr>
                <w:rFonts w:ascii="Aptos" w:hAnsi="Aptos"/>
                <w:b w:val="0"/>
                <w:sz w:val="17"/>
              </w:rPr>
              <w:t>Historique illimité des paiements ; bouton Enregistrer un paiement</w:t>
            </w:r>
          </w:p>
        </w:tc>
      </w:tr>
      <w:tr>
        <w:tc>
          <w:tcPr>
            <w:tcW w:type="dxa" w:w="5112"/>
            <w:vAlign w:val="center"/>
          </w:tcPr>
          <w:p>
            <w:r/>
            <w:r>
              <w:rPr>
                <w:rFonts w:ascii="Aptos" w:hAnsi="Aptos"/>
                <w:b w:val="0"/>
                <w:sz w:val="17"/>
              </w:rPr>
              <w:t>Formation</w:t>
            </w:r>
          </w:p>
        </w:tc>
        <w:tc>
          <w:tcPr>
            <w:tcW w:type="dxa" w:w="5112"/>
            <w:vAlign w:val="center"/>
          </w:tcPr>
          <w:p>
            <w:r/>
            <w:r>
              <w:rPr>
                <w:rFonts w:ascii="Aptos" w:hAnsi="Aptos"/>
                <w:b w:val="0"/>
                <w:sz w:val="17"/>
              </w:rPr>
              <w:t>Présences, progression, statut</w:t>
            </w:r>
          </w:p>
        </w:tc>
      </w:tr>
      <w:tr>
        <w:tc>
          <w:tcPr>
            <w:tcW w:type="dxa" w:w="5112"/>
            <w:vAlign w:val="center"/>
          </w:tcPr>
          <w:p>
            <w:r/>
            <w:r>
              <w:rPr>
                <w:rFonts w:ascii="Aptos" w:hAnsi="Aptos"/>
                <w:b w:val="0"/>
                <w:sz w:val="17"/>
              </w:rPr>
              <w:t>Documents</w:t>
            </w:r>
          </w:p>
        </w:tc>
        <w:tc>
          <w:tcPr>
            <w:tcW w:type="dxa" w:w="5112"/>
            <w:vAlign w:val="center"/>
          </w:tcPr>
          <w:p>
            <w:r/>
            <w:r>
              <w:rPr>
                <w:rFonts w:ascii="Aptos" w:hAnsi="Aptos"/>
                <w:b w:val="0"/>
                <w:sz w:val="17"/>
              </w:rPr>
              <w:t>Factures/reçus, certificat, pièces éventuelles</w:t>
            </w:r>
          </w:p>
        </w:tc>
      </w:tr>
    </w:tbl>
    <w:p/>
    <w:p>
      <w:r>
        <w:t>La structure ne doit pas utiliser des colonnes fixes « 1ère tranche / 2e tranche ». Une inscription possède N paiements. Le solde est calculé à partir du montant contractuel et des paiements validés.</w:t>
      </w:r>
    </w:p>
    <w:p>
      <w:pPr>
        <w:pStyle w:val="Heading1"/>
      </w:pPr>
      <w:r>
        <w:t>8. Pekegno Agency</w:t>
      </w:r>
    </w:p>
    <w:p>
      <w:pPr>
        <w:spacing w:before="60" w:after="120"/>
        <w:ind w:left="360"/>
      </w:pPr>
      <w:r>
        <w:rPr>
          <w:rFonts w:ascii="Consolas" w:hAnsi="Consolas"/>
          <w:sz w:val="17"/>
        </w:rPr>
        <w:t>AGENCY</w:t>
        <w:br/>
        <w:t>├── Dashboard</w:t>
        <w:br/>
        <w:t>├── Prospects</w:t>
        <w:br/>
        <w:t>├── Clients</w:t>
        <w:br/>
        <w:t>├── Packages</w:t>
        <w:br/>
        <w:t>├── Contrats</w:t>
        <w:br/>
        <w:t>├── Prestations</w:t>
        <w:br/>
        <w:t>├── Équipe client</w:t>
        <w:br/>
        <w:t>├── Community Management</w:t>
        <w:br/>
        <w:t>├── Publicité</w:t>
        <w:br/>
        <w:t>├── Renouvellements</w:t>
        <w:br/>
        <w:t>├── Paiements</w:t>
        <w:br/>
        <w:t>├── Créances</w:t>
        <w:br/>
        <w:t>├── Rapports clients</w:t>
        <w:br/>
        <w:t>└── Performance</w:t>
      </w:r>
    </w:p>
    <w:p>
      <w:r>
        <w:t>Client, contrat et service sont trois objets distincts. Un même client peut acheter plusieurs prestations et plusieurs branches sans duplication de sa fiche.</w:t>
      </w:r>
    </w:p>
    <w:p>
      <w:pPr>
        <w:pStyle w:val="Heading2"/>
      </w:pPr>
      <w:r>
        <w:t>8.1 Renouvellements</w:t>
      </w:r>
    </w:p>
    <w:p>
      <w:pPr>
        <w:pStyle w:val="ListBullet"/>
        <w:spacing w:after="40"/>
      </w:pPr>
      <w:r>
        <w:t>Échéance calculée depuis le contrat.</w:t>
      </w:r>
    </w:p>
    <w:p>
      <w:pPr>
        <w:pStyle w:val="ListBullet"/>
        <w:spacing w:after="40"/>
      </w:pPr>
      <w:r>
        <w:t>Alertes configurables avant l’échéance.</w:t>
      </w:r>
    </w:p>
    <w:p>
      <w:pPr>
        <w:pStyle w:val="ListBullet"/>
        <w:spacing w:after="40"/>
      </w:pPr>
      <w:r>
        <w:t>Création automatique de tâches de relance.</w:t>
      </w:r>
    </w:p>
    <w:p>
      <w:pPr>
        <w:pStyle w:val="ListBullet"/>
        <w:spacing w:after="40"/>
      </w:pPr>
      <w:r>
        <w:t>Statuts : actif, à renouveler, expiré, suspendu, résilié.</w:t>
      </w:r>
    </w:p>
    <w:p>
      <w:pPr>
        <w:pStyle w:val="ListBullet"/>
        <w:spacing w:after="40"/>
      </w:pPr>
      <w:r>
        <w:t>Historique des renouvellements.</w:t>
      </w:r>
    </w:p>
    <w:p>
      <w:pPr>
        <w:pStyle w:val="Heading2"/>
      </w:pPr>
      <w:r>
        <w:t>8.2 Publicité</w:t>
      </w:r>
    </w:p>
    <w:p>
      <w:r>
        <w:t>Le système doit séparer les honoraires/revenus Pekegno du budget publicitaire géré pour le client. Les règles comptables exactes de reconnaissance du chiffre d’affaires doivent être validées avec la fonction finance/comptabilité.</w:t>
      </w:r>
    </w:p>
    <w:p>
      <w:pPr>
        <w:pStyle w:val="Heading1"/>
      </w:pPr>
      <w:r>
        <w:t>9. Pekegno Store / Matootoo</w:t>
      </w:r>
    </w:p>
    <w:p>
      <w:pPr>
        <w:spacing w:before="60" w:after="120"/>
        <w:ind w:left="360"/>
      </w:pPr>
      <w:r>
        <w:rPr>
          <w:rFonts w:ascii="Consolas" w:hAnsi="Consolas"/>
          <w:sz w:val="17"/>
        </w:rPr>
        <w:t>STORE</w:t>
        <w:br/>
        <w:t>├── Dashboard</w:t>
        <w:br/>
        <w:t>├── Catalogue / Produits / Catégories</w:t>
        <w:br/>
        <w:t>├── Stocks</w:t>
        <w:br/>
        <w:t>├── Approvisionnements</w:t>
        <w:br/>
        <w:t>├── Fournisseurs</w:t>
        <w:br/>
        <w:t>├── Achats</w:t>
        <w:br/>
        <w:t>├── Commandes</w:t>
        <w:br/>
        <w:t>├── Ventes</w:t>
        <w:br/>
        <w:t>├── Livraisons</w:t>
        <w:br/>
        <w:t>├── Retours</w:t>
        <w:br/>
        <w:t>├── Inventaires</w:t>
        <w:br/>
        <w:t>└── Rapports</w:t>
      </w:r>
    </w:p>
    <w:p>
      <w:r>
        <w:t>Le stock doit être multi-pays et multi-agences. Chaque mouvement doit être identifié : entrée, sortie, vente, retour, perte, ajustement ou transfert inter-agence.</w:t>
      </w:r>
    </w:p>
    <w:p>
      <w:pPr>
        <w:pStyle w:val="Heading1"/>
      </w:pPr>
      <w:r>
        <w:t>10. Pekegno Studio</w:t>
      </w:r>
    </w:p>
    <w:p>
      <w:pPr>
        <w:spacing w:before="60" w:after="120"/>
        <w:ind w:left="360"/>
      </w:pPr>
      <w:r>
        <w:rPr>
          <w:rFonts w:ascii="Consolas" w:hAnsi="Consolas"/>
          <w:sz w:val="17"/>
        </w:rPr>
        <w:t>STUDIO</w:t>
        <w:br/>
        <w:t>├── Dashboard</w:t>
        <w:br/>
        <w:t>├── Prospects / Clients</w:t>
        <w:br/>
        <w:t>├── Services</w:t>
        <w:br/>
        <w:t>├── Devis</w:t>
        <w:br/>
        <w:t>├── Projets</w:t>
        <w:br/>
        <w:t>├── Briefs</w:t>
        <w:br/>
        <w:t>├── Planning</w:t>
        <w:br/>
        <w:t>├── Production</w:t>
        <w:br/>
        <w:t>├── Révisions</w:t>
        <w:br/>
        <w:t>├── Livraisons</w:t>
        <w:br/>
        <w:t>├── Paiements</w:t>
        <w:br/>
        <w:t>└── Rapports</w:t>
      </w:r>
    </w:p>
    <w:p>
      <w:pPr>
        <w:spacing w:before="60" w:after="120"/>
        <w:ind w:left="360"/>
      </w:pPr>
      <w:r>
        <w:rPr>
          <w:rFonts w:ascii="Consolas" w:hAnsi="Consolas"/>
          <w:sz w:val="17"/>
        </w:rPr>
        <w:t>Prospect → Brief → Devis → Validation → Acompte → Planification → Production → Révision → Validation client → Livraison → Solde → Clôture</w:t>
      </w:r>
    </w:p>
    <w:p>
      <w:pPr>
        <w:pStyle w:val="Heading1"/>
      </w:pPr>
      <w:r>
        <w:t>11. Moteur central de ventes</w:t>
      </w:r>
    </w:p>
    <w:p>
      <w:r>
        <w:t>Academy, Agency, Store et Studio doivent utiliser un noyau de vente commun. Les extensions métier se branchent sur ce noyau.</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Champ</w:t>
            </w:r>
          </w:p>
        </w:tc>
        <w:tc>
          <w:tcPr>
            <w:tcW w:type="dxa" w:w="5112"/>
            <w:vAlign w:val="center"/>
            <w:shd w:fill="1F4E79"/>
          </w:tcPr>
          <w:p>
            <w:r/>
            <w:r>
              <w:rPr>
                <w:rFonts w:ascii="Aptos" w:hAnsi="Aptos"/>
                <w:b/>
                <w:color w:val="FFFFFF"/>
                <w:sz w:val="17"/>
              </w:rPr>
              <w:t>Description</w:t>
            </w:r>
          </w:p>
        </w:tc>
      </w:tr>
      <w:tr>
        <w:tc>
          <w:tcPr>
            <w:tcW w:type="dxa" w:w="5112"/>
            <w:vAlign w:val="center"/>
          </w:tcPr>
          <w:p>
            <w:r/>
            <w:r>
              <w:rPr>
                <w:rFonts w:ascii="Aptos" w:hAnsi="Aptos"/>
                <w:b w:val="0"/>
                <w:sz w:val="17"/>
              </w:rPr>
              <w:t>Identifiant</w:t>
            </w:r>
          </w:p>
        </w:tc>
        <w:tc>
          <w:tcPr>
            <w:tcW w:type="dxa" w:w="5112"/>
            <w:vAlign w:val="center"/>
          </w:tcPr>
          <w:p>
            <w:r/>
            <w:r>
              <w:rPr>
                <w:rFonts w:ascii="Aptos" w:hAnsi="Aptos"/>
                <w:b w:val="0"/>
                <w:sz w:val="17"/>
              </w:rPr>
              <w:t>Identifiant technique + référence lisible</w:t>
            </w:r>
          </w:p>
        </w:tc>
      </w:tr>
      <w:tr>
        <w:tc>
          <w:tcPr>
            <w:tcW w:type="dxa" w:w="5112"/>
            <w:vAlign w:val="center"/>
          </w:tcPr>
          <w:p>
            <w:r/>
            <w:r>
              <w:rPr>
                <w:rFonts w:ascii="Aptos" w:hAnsi="Aptos"/>
                <w:b w:val="0"/>
                <w:sz w:val="17"/>
              </w:rPr>
              <w:t>Contexte</w:t>
            </w:r>
          </w:p>
        </w:tc>
        <w:tc>
          <w:tcPr>
            <w:tcW w:type="dxa" w:w="5112"/>
            <w:vAlign w:val="center"/>
          </w:tcPr>
          <w:p>
            <w:r/>
            <w:r>
              <w:rPr>
                <w:rFonts w:ascii="Aptos" w:hAnsi="Aptos"/>
                <w:b w:val="0"/>
                <w:sz w:val="17"/>
              </w:rPr>
              <w:t>Pays, agence, branche</w:t>
            </w:r>
          </w:p>
        </w:tc>
      </w:tr>
      <w:tr>
        <w:tc>
          <w:tcPr>
            <w:tcW w:type="dxa" w:w="5112"/>
            <w:vAlign w:val="center"/>
          </w:tcPr>
          <w:p>
            <w:r/>
            <w:r>
              <w:rPr>
                <w:rFonts w:ascii="Aptos" w:hAnsi="Aptos"/>
                <w:b w:val="0"/>
                <w:sz w:val="17"/>
              </w:rPr>
              <w:t>Client</w:t>
            </w:r>
          </w:p>
        </w:tc>
        <w:tc>
          <w:tcPr>
            <w:tcW w:type="dxa" w:w="5112"/>
            <w:vAlign w:val="center"/>
          </w:tcPr>
          <w:p>
            <w:r/>
            <w:r>
              <w:rPr>
                <w:rFonts w:ascii="Aptos" w:hAnsi="Aptos"/>
                <w:b w:val="0"/>
                <w:sz w:val="17"/>
              </w:rPr>
              <w:t>Contact/entreprise concerné</w:t>
            </w:r>
          </w:p>
        </w:tc>
      </w:tr>
      <w:tr>
        <w:tc>
          <w:tcPr>
            <w:tcW w:type="dxa" w:w="5112"/>
            <w:vAlign w:val="center"/>
          </w:tcPr>
          <w:p>
            <w:r/>
            <w:r>
              <w:rPr>
                <w:rFonts w:ascii="Aptos" w:hAnsi="Aptos"/>
                <w:b w:val="0"/>
                <w:sz w:val="17"/>
              </w:rPr>
              <w:t>Produit/service</w:t>
            </w:r>
          </w:p>
        </w:tc>
        <w:tc>
          <w:tcPr>
            <w:tcW w:type="dxa" w:w="5112"/>
            <w:vAlign w:val="center"/>
          </w:tcPr>
          <w:p>
            <w:r/>
            <w:r>
              <w:rPr>
                <w:rFonts w:ascii="Aptos" w:hAnsi="Aptos"/>
                <w:b w:val="0"/>
                <w:sz w:val="17"/>
              </w:rPr>
              <w:t>Élément vendu</w:t>
            </w:r>
          </w:p>
        </w:tc>
      </w:tr>
      <w:tr>
        <w:tc>
          <w:tcPr>
            <w:tcW w:type="dxa" w:w="5112"/>
            <w:vAlign w:val="center"/>
          </w:tcPr>
          <w:p>
            <w:r/>
            <w:r>
              <w:rPr>
                <w:rFonts w:ascii="Aptos" w:hAnsi="Aptos"/>
                <w:b w:val="0"/>
                <w:sz w:val="17"/>
              </w:rPr>
              <w:t>Commercial</w:t>
            </w:r>
          </w:p>
        </w:tc>
        <w:tc>
          <w:tcPr>
            <w:tcW w:type="dxa" w:w="5112"/>
            <w:vAlign w:val="center"/>
          </w:tcPr>
          <w:p>
            <w:r/>
            <w:r>
              <w:rPr>
                <w:rFonts w:ascii="Aptos" w:hAnsi="Aptos"/>
                <w:b w:val="0"/>
                <w:sz w:val="17"/>
              </w:rPr>
              <w:t>Responsable de la vente</w:t>
            </w:r>
          </w:p>
        </w:tc>
      </w:tr>
      <w:tr>
        <w:tc>
          <w:tcPr>
            <w:tcW w:type="dxa" w:w="5112"/>
            <w:vAlign w:val="center"/>
          </w:tcPr>
          <w:p>
            <w:r/>
            <w:r>
              <w:rPr>
                <w:rFonts w:ascii="Aptos" w:hAnsi="Aptos"/>
                <w:b w:val="0"/>
                <w:sz w:val="17"/>
              </w:rPr>
              <w:t>Prix</w:t>
            </w:r>
          </w:p>
        </w:tc>
        <w:tc>
          <w:tcPr>
            <w:tcW w:type="dxa" w:w="5112"/>
            <w:vAlign w:val="center"/>
          </w:tcPr>
          <w:p>
            <w:r/>
            <w:r>
              <w:rPr>
                <w:rFonts w:ascii="Aptos" w:hAnsi="Aptos"/>
                <w:b w:val="0"/>
                <w:sz w:val="17"/>
              </w:rPr>
              <w:t>Prix catalogue, remise, prix final</w:t>
            </w:r>
          </w:p>
        </w:tc>
      </w:tr>
      <w:tr>
        <w:tc>
          <w:tcPr>
            <w:tcW w:type="dxa" w:w="5112"/>
            <w:vAlign w:val="center"/>
          </w:tcPr>
          <w:p>
            <w:r/>
            <w:r>
              <w:rPr>
                <w:rFonts w:ascii="Aptos" w:hAnsi="Aptos"/>
                <w:b w:val="0"/>
                <w:sz w:val="17"/>
              </w:rPr>
              <w:t>Finance</w:t>
            </w:r>
          </w:p>
        </w:tc>
        <w:tc>
          <w:tcPr>
            <w:tcW w:type="dxa" w:w="5112"/>
            <w:vAlign w:val="center"/>
          </w:tcPr>
          <w:p>
            <w:r/>
            <w:r>
              <w:rPr>
                <w:rFonts w:ascii="Aptos" w:hAnsi="Aptos"/>
                <w:b w:val="0"/>
                <w:sz w:val="17"/>
              </w:rPr>
              <w:t>Facturé, encaissé calculé, reste dû calculé</w:t>
            </w:r>
          </w:p>
        </w:tc>
      </w:tr>
      <w:tr>
        <w:tc>
          <w:tcPr>
            <w:tcW w:type="dxa" w:w="5112"/>
            <w:vAlign w:val="center"/>
          </w:tcPr>
          <w:p>
            <w:r/>
            <w:r>
              <w:rPr>
                <w:rFonts w:ascii="Aptos" w:hAnsi="Aptos"/>
                <w:b w:val="0"/>
                <w:sz w:val="17"/>
              </w:rPr>
              <w:t>Statut</w:t>
            </w:r>
          </w:p>
        </w:tc>
        <w:tc>
          <w:tcPr>
            <w:tcW w:type="dxa" w:w="5112"/>
            <w:vAlign w:val="center"/>
          </w:tcPr>
          <w:p>
            <w:r/>
            <w:r>
              <w:rPr>
                <w:rFonts w:ascii="Aptos" w:hAnsi="Aptos"/>
                <w:b w:val="0"/>
                <w:sz w:val="17"/>
              </w:rPr>
              <w:t>État contrôlé de la vente</w:t>
            </w:r>
          </w:p>
        </w:tc>
      </w:tr>
      <w:tr>
        <w:tc>
          <w:tcPr>
            <w:tcW w:type="dxa" w:w="5112"/>
            <w:vAlign w:val="center"/>
          </w:tcPr>
          <w:p>
            <w:r/>
            <w:r>
              <w:rPr>
                <w:rFonts w:ascii="Aptos" w:hAnsi="Aptos"/>
                <w:b w:val="0"/>
                <w:sz w:val="17"/>
              </w:rPr>
              <w:t>Audit</w:t>
            </w:r>
          </w:p>
        </w:tc>
        <w:tc>
          <w:tcPr>
            <w:tcW w:type="dxa" w:w="5112"/>
            <w:vAlign w:val="center"/>
          </w:tcPr>
          <w:p>
            <w:r/>
            <w:r>
              <w:rPr>
                <w:rFonts w:ascii="Aptos" w:hAnsi="Aptos"/>
                <w:b w:val="0"/>
                <w:sz w:val="17"/>
              </w:rPr>
              <w:t>Créateur, date/heure, historique</w:t>
            </w:r>
          </w:p>
        </w:tc>
      </w:tr>
    </w:tbl>
    <w:p/>
    <w:p>
      <w:pPr>
        <w:pStyle w:val="Heading2"/>
      </w:pPr>
      <w:r>
        <w:t>11.1 Vente ≠ paiement</w:t>
      </w:r>
    </w:p>
    <w:p>
      <w:r>
        <w:t>Une vente de 100 000 FCFA payée en trois tranches reste une seule vente reliée à trois paiements. Cette distinction est structurante pour les créances, la trésorerie, les commissions et le reporting.</w:t>
      </w:r>
    </w:p>
    <w:p>
      <w:pPr>
        <w:pStyle w:val="Heading1"/>
      </w:pPr>
      <w:r>
        <w:t>12. Paiements et trésorerie</w:t>
      </w:r>
    </w:p>
    <w:p>
      <w:pPr>
        <w:spacing w:before="60" w:after="120"/>
        <w:ind w:left="360"/>
      </w:pPr>
      <w:r>
        <w:rPr>
          <w:rFonts w:ascii="Consolas" w:hAnsi="Consolas"/>
          <w:sz w:val="17"/>
        </w:rPr>
        <w:t>COMPTES DE TRÉSORERIE</w:t>
        <w:br/>
        <w:t>├── CASH</w:t>
        <w:br/>
        <w:t>│   ├── Caisse Douala</w:t>
        <w:br/>
        <w:t>│   ├── Caisse Yaoundé</w:t>
        <w:br/>
        <w:t>│   └── Caisse Abidjan</w:t>
        <w:br/>
        <w:t>├── MOBILE MONEY</w:t>
        <w:br/>
        <w:t>│   ├── Orange Money</w:t>
        <w:br/>
        <w:t>│   └── MTN MoMo</w:t>
        <w:br/>
        <w:t>└── BANQUES</w:t>
        <w:br/>
        <w:t xml:space="preserve">    ├── Afriland</w:t>
        <w:br/>
        <w:t xml:space="preserve">    ├── CCA</w:t>
        <w:br/>
        <w:t xml:space="preserve">    └── Autres</w:t>
      </w:r>
    </w:p>
    <w:p>
      <w:r>
        <w:t>Chaque paiement doit préciser le montant, le compte de destination, la vente/facture liée, le client, l’agence, l’utilisateur, la date et une référence éventuelle.</w:t>
      </w:r>
    </w:p>
    <w:p>
      <w:pPr>
        <w:pStyle w:val="Heading1"/>
      </w:pPr>
      <w:r>
        <w:t>13. Bilan journalier automatique</w:t>
      </w:r>
    </w:p>
    <w:p>
      <w:r>
        <w:t>Le bilan journalier ne doit plus être saisi manuellement. Il doit être généré depuis les ventes, paiements et dépenses enregistrés.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Bloc</w:t>
            </w:r>
          </w:p>
        </w:tc>
        <w:tc>
          <w:tcPr>
            <w:tcW w:type="dxa" w:w="5112"/>
            <w:vAlign w:val="center"/>
            <w:shd w:fill="1F4E79"/>
          </w:tcPr>
          <w:p>
            <w:r/>
            <w:r>
              <w:rPr>
                <w:rFonts w:ascii="Aptos" w:hAnsi="Aptos"/>
                <w:b/>
                <w:color w:val="FFFFFF"/>
                <w:sz w:val="17"/>
              </w:rPr>
              <w:t>Exemples</w:t>
            </w:r>
          </w:p>
        </w:tc>
      </w:tr>
      <w:tr>
        <w:tc>
          <w:tcPr>
            <w:tcW w:type="dxa" w:w="5112"/>
            <w:vAlign w:val="center"/>
          </w:tcPr>
          <w:p>
            <w:r/>
            <w:r>
              <w:rPr>
                <w:rFonts w:ascii="Aptos" w:hAnsi="Aptos"/>
                <w:b w:val="0"/>
                <w:sz w:val="17"/>
              </w:rPr>
              <w:t>Ventes</w:t>
            </w:r>
          </w:p>
        </w:tc>
        <w:tc>
          <w:tcPr>
            <w:tcW w:type="dxa" w:w="5112"/>
            <w:vAlign w:val="center"/>
          </w:tcPr>
          <w:p>
            <w:r/>
            <w:r>
              <w:rPr>
                <w:rFonts w:ascii="Aptos" w:hAnsi="Aptos"/>
                <w:b w:val="0"/>
                <w:sz w:val="17"/>
              </w:rPr>
              <w:t>Academy, Agency, Store, Studio</w:t>
            </w:r>
          </w:p>
        </w:tc>
      </w:tr>
      <w:tr>
        <w:tc>
          <w:tcPr>
            <w:tcW w:type="dxa" w:w="5112"/>
            <w:vAlign w:val="center"/>
          </w:tcPr>
          <w:p>
            <w:r/>
            <w:r>
              <w:rPr>
                <w:rFonts w:ascii="Aptos" w:hAnsi="Aptos"/>
                <w:b w:val="0"/>
                <w:sz w:val="17"/>
              </w:rPr>
              <w:t>Encaissements</w:t>
            </w:r>
          </w:p>
        </w:tc>
        <w:tc>
          <w:tcPr>
            <w:tcW w:type="dxa" w:w="5112"/>
            <w:vAlign w:val="center"/>
          </w:tcPr>
          <w:p>
            <w:r/>
            <w:r>
              <w:rPr>
                <w:rFonts w:ascii="Aptos" w:hAnsi="Aptos"/>
                <w:b w:val="0"/>
                <w:sz w:val="17"/>
              </w:rPr>
              <w:t>Cash, Orange Money, MTN MoMo, banque, autres</w:t>
            </w:r>
          </w:p>
        </w:tc>
      </w:tr>
      <w:tr>
        <w:tc>
          <w:tcPr>
            <w:tcW w:type="dxa" w:w="5112"/>
            <w:vAlign w:val="center"/>
          </w:tcPr>
          <w:p>
            <w:r/>
            <w:r>
              <w:rPr>
                <w:rFonts w:ascii="Aptos" w:hAnsi="Aptos"/>
                <w:b w:val="0"/>
                <w:sz w:val="17"/>
              </w:rPr>
              <w:t>Dépenses</w:t>
            </w:r>
          </w:p>
        </w:tc>
        <w:tc>
          <w:tcPr>
            <w:tcW w:type="dxa" w:w="5112"/>
            <w:vAlign w:val="center"/>
          </w:tcPr>
          <w:p>
            <w:r/>
            <w:r>
              <w:rPr>
                <w:rFonts w:ascii="Aptos" w:hAnsi="Aptos"/>
                <w:b w:val="0"/>
                <w:sz w:val="17"/>
              </w:rPr>
              <w:t>Administration, publicité, logistique, autres catégories configurables</w:t>
            </w:r>
          </w:p>
        </w:tc>
      </w:tr>
      <w:tr>
        <w:tc>
          <w:tcPr>
            <w:tcW w:type="dxa" w:w="5112"/>
            <w:vAlign w:val="center"/>
          </w:tcPr>
          <w:p>
            <w:r/>
            <w:r>
              <w:rPr>
                <w:rFonts w:ascii="Aptos" w:hAnsi="Aptos"/>
                <w:b w:val="0"/>
                <w:sz w:val="17"/>
              </w:rPr>
              <w:t>Trésorerie</w:t>
            </w:r>
          </w:p>
        </w:tc>
        <w:tc>
          <w:tcPr>
            <w:tcW w:type="dxa" w:w="5112"/>
            <w:vAlign w:val="center"/>
          </w:tcPr>
          <w:p>
            <w:r/>
            <w:r>
              <w:rPr>
                <w:rFonts w:ascii="Aptos" w:hAnsi="Aptos"/>
                <w:b w:val="0"/>
                <w:sz w:val="17"/>
              </w:rPr>
              <w:t>Solde initial + entrées - sorties = solde théorique</w:t>
            </w:r>
          </w:p>
        </w:tc>
      </w:tr>
      <w:tr>
        <w:tc>
          <w:tcPr>
            <w:tcW w:type="dxa" w:w="5112"/>
            <w:vAlign w:val="center"/>
          </w:tcPr>
          <w:p>
            <w:r/>
            <w:r>
              <w:rPr>
                <w:rFonts w:ascii="Aptos" w:hAnsi="Aptos"/>
                <w:b w:val="0"/>
                <w:sz w:val="17"/>
              </w:rPr>
              <w:t>Contrôle</w:t>
            </w:r>
          </w:p>
        </w:tc>
        <w:tc>
          <w:tcPr>
            <w:tcW w:type="dxa" w:w="5112"/>
            <w:vAlign w:val="center"/>
          </w:tcPr>
          <w:p>
            <w:r/>
            <w:r>
              <w:rPr>
                <w:rFonts w:ascii="Aptos" w:hAnsi="Aptos"/>
                <w:b w:val="0"/>
                <w:sz w:val="17"/>
              </w:rPr>
              <w:t>Comparaison solde théorique / solde réel et justification des écarts</w:t>
            </w:r>
          </w:p>
        </w:tc>
      </w:tr>
    </w:tbl>
    <w:p/>
    <w:p>
      <w:r>
        <w:t>Le système doit distinguer chiffre d’affaires, facturation, encaissements, créances et trésorerie. Les définitions comptables exactes seront validées dans le dictionnaire KPI.</w:t>
      </w:r>
    </w:p>
    <w:p>
      <w:pPr>
        <w:pStyle w:val="Heading1"/>
      </w:pPr>
      <w:r>
        <w:t>14. Dépenses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Champ</w:t>
            </w:r>
          </w:p>
        </w:tc>
        <w:tc>
          <w:tcPr>
            <w:tcW w:type="dxa" w:w="5112"/>
            <w:vAlign w:val="center"/>
            <w:shd w:fill="1F4E79"/>
          </w:tcPr>
          <w:p>
            <w:r/>
            <w:r>
              <w:rPr>
                <w:rFonts w:ascii="Aptos" w:hAnsi="Aptos"/>
                <w:b/>
                <w:color w:val="FFFFFF"/>
                <w:sz w:val="17"/>
              </w:rPr>
              <w:t>Contenu</w:t>
            </w:r>
          </w:p>
        </w:tc>
      </w:tr>
      <w:tr>
        <w:tc>
          <w:tcPr>
            <w:tcW w:type="dxa" w:w="5112"/>
            <w:vAlign w:val="center"/>
          </w:tcPr>
          <w:p>
            <w:r/>
            <w:r>
              <w:rPr>
                <w:rFonts w:ascii="Aptos" w:hAnsi="Aptos"/>
                <w:b w:val="0"/>
                <w:sz w:val="17"/>
              </w:rPr>
              <w:t>Montant</w:t>
            </w:r>
          </w:p>
        </w:tc>
        <w:tc>
          <w:tcPr>
            <w:tcW w:type="dxa" w:w="5112"/>
            <w:vAlign w:val="center"/>
          </w:tcPr>
          <w:p>
            <w:r/>
            <w:r>
              <w:rPr>
                <w:rFonts w:ascii="Aptos" w:hAnsi="Aptos"/>
                <w:b w:val="0"/>
                <w:sz w:val="17"/>
              </w:rPr>
              <w:t>Montant de la dépense</w:t>
            </w:r>
          </w:p>
        </w:tc>
      </w:tr>
      <w:tr>
        <w:tc>
          <w:tcPr>
            <w:tcW w:type="dxa" w:w="5112"/>
            <w:vAlign w:val="center"/>
          </w:tcPr>
          <w:p>
            <w:r/>
            <w:r>
              <w:rPr>
                <w:rFonts w:ascii="Aptos" w:hAnsi="Aptos"/>
                <w:b w:val="0"/>
                <w:sz w:val="17"/>
              </w:rPr>
              <w:t>Catégorie</w:t>
            </w:r>
          </w:p>
        </w:tc>
        <w:tc>
          <w:tcPr>
            <w:tcW w:type="dxa" w:w="5112"/>
            <w:vAlign w:val="center"/>
          </w:tcPr>
          <w:p>
            <w:r/>
            <w:r>
              <w:rPr>
                <w:rFonts w:ascii="Aptos" w:hAnsi="Aptos"/>
                <w:b w:val="0"/>
                <w:sz w:val="17"/>
              </w:rPr>
              <w:t>Administration, publicité, logistique, etc.</w:t>
            </w:r>
          </w:p>
        </w:tc>
      </w:tr>
      <w:tr>
        <w:tc>
          <w:tcPr>
            <w:tcW w:type="dxa" w:w="5112"/>
            <w:vAlign w:val="center"/>
          </w:tcPr>
          <w:p>
            <w:r/>
            <w:r>
              <w:rPr>
                <w:rFonts w:ascii="Aptos" w:hAnsi="Aptos"/>
                <w:b w:val="0"/>
                <w:sz w:val="17"/>
              </w:rPr>
              <w:t>Contexte</w:t>
            </w:r>
          </w:p>
        </w:tc>
        <w:tc>
          <w:tcPr>
            <w:tcW w:type="dxa" w:w="5112"/>
            <w:vAlign w:val="center"/>
          </w:tcPr>
          <w:p>
            <w:r/>
            <w:r>
              <w:rPr>
                <w:rFonts w:ascii="Aptos" w:hAnsi="Aptos"/>
                <w:b w:val="0"/>
                <w:sz w:val="17"/>
              </w:rPr>
              <w:t>Pays, agence, branche</w:t>
            </w:r>
          </w:p>
        </w:tc>
      </w:tr>
      <w:tr>
        <w:tc>
          <w:tcPr>
            <w:tcW w:type="dxa" w:w="5112"/>
            <w:vAlign w:val="center"/>
          </w:tcPr>
          <w:p>
            <w:r/>
            <w:r>
              <w:rPr>
                <w:rFonts w:ascii="Aptos" w:hAnsi="Aptos"/>
                <w:b w:val="0"/>
                <w:sz w:val="17"/>
              </w:rPr>
              <w:t>Compte</w:t>
            </w:r>
          </w:p>
        </w:tc>
        <w:tc>
          <w:tcPr>
            <w:tcW w:type="dxa" w:w="5112"/>
            <w:vAlign w:val="center"/>
          </w:tcPr>
          <w:p>
            <w:r/>
            <w:r>
              <w:rPr>
                <w:rFonts w:ascii="Aptos" w:hAnsi="Aptos"/>
                <w:b w:val="0"/>
                <w:sz w:val="17"/>
              </w:rPr>
              <w:t>Caisse, Mobile Money, banque</w:t>
            </w:r>
          </w:p>
        </w:tc>
      </w:tr>
      <w:tr>
        <w:tc>
          <w:tcPr>
            <w:tcW w:type="dxa" w:w="5112"/>
            <w:vAlign w:val="center"/>
          </w:tcPr>
          <w:p>
            <w:r/>
            <w:r>
              <w:rPr>
                <w:rFonts w:ascii="Aptos" w:hAnsi="Aptos"/>
                <w:b w:val="0"/>
                <w:sz w:val="17"/>
              </w:rPr>
              <w:t>Responsables</w:t>
            </w:r>
          </w:p>
        </w:tc>
        <w:tc>
          <w:tcPr>
            <w:tcW w:type="dxa" w:w="5112"/>
            <w:vAlign w:val="center"/>
          </w:tcPr>
          <w:p>
            <w:r/>
            <w:r>
              <w:rPr>
                <w:rFonts w:ascii="Aptos" w:hAnsi="Aptos"/>
                <w:b w:val="0"/>
                <w:sz w:val="17"/>
              </w:rPr>
              <w:t>Demandeur, validateur, utilisateur ayant décaissé</w:t>
            </w:r>
          </w:p>
        </w:tc>
      </w:tr>
      <w:tr>
        <w:tc>
          <w:tcPr>
            <w:tcW w:type="dxa" w:w="5112"/>
            <w:vAlign w:val="center"/>
          </w:tcPr>
          <w:p>
            <w:r/>
            <w:r>
              <w:rPr>
                <w:rFonts w:ascii="Aptos" w:hAnsi="Aptos"/>
                <w:b w:val="0"/>
                <w:sz w:val="17"/>
              </w:rPr>
              <w:t>Justificatif</w:t>
            </w:r>
          </w:p>
        </w:tc>
        <w:tc>
          <w:tcPr>
            <w:tcW w:type="dxa" w:w="5112"/>
            <w:vAlign w:val="center"/>
          </w:tcPr>
          <w:p>
            <w:r/>
            <w:r>
              <w:rPr>
                <w:rFonts w:ascii="Aptos" w:hAnsi="Aptos"/>
                <w:b w:val="0"/>
                <w:sz w:val="17"/>
              </w:rPr>
              <w:t>Photo/PDF/document</w:t>
            </w:r>
          </w:p>
        </w:tc>
      </w:tr>
      <w:tr>
        <w:tc>
          <w:tcPr>
            <w:tcW w:type="dxa" w:w="5112"/>
            <w:vAlign w:val="center"/>
          </w:tcPr>
          <w:p>
            <w:r/>
            <w:r>
              <w:rPr>
                <w:rFonts w:ascii="Aptos" w:hAnsi="Aptos"/>
                <w:b w:val="0"/>
                <w:sz w:val="17"/>
              </w:rPr>
              <w:t>Statut</w:t>
            </w:r>
          </w:p>
        </w:tc>
        <w:tc>
          <w:tcPr>
            <w:tcW w:type="dxa" w:w="5112"/>
            <w:vAlign w:val="center"/>
          </w:tcPr>
          <w:p>
            <w:r/>
            <w:r>
              <w:rPr>
                <w:rFonts w:ascii="Aptos" w:hAnsi="Aptos"/>
                <w:b w:val="0"/>
                <w:sz w:val="17"/>
              </w:rPr>
              <w:t>Brouillon, soumis, validé, rejeté, payé/clos</w:t>
            </w:r>
          </w:p>
        </w:tc>
      </w:tr>
    </w:tbl>
    <w:p/>
    <w:p>
      <w:pPr>
        <w:spacing w:before="60" w:after="120"/>
        <w:ind w:left="360"/>
      </w:pPr>
      <w:r>
        <w:rPr>
          <w:rFonts w:ascii="Consolas" w:hAnsi="Consolas"/>
          <w:sz w:val="17"/>
        </w:rPr>
        <w:t>Demande → Validation → Décaissement → Justificatif → Comptabilisation/Clôture</w:t>
      </w:r>
    </w:p>
    <w:p>
      <w:pPr>
        <w:pStyle w:val="Heading1"/>
      </w:pPr>
      <w:r>
        <w:t>15. Moteur de commissions et primes</w:t>
      </w:r>
    </w:p>
    <w:p>
      <w:r>
        <w:t>Les commissions doivent provenir de règles configurées et versionnées, et non de calculs manuels isolés.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Paramètre</w:t>
            </w:r>
          </w:p>
        </w:tc>
        <w:tc>
          <w:tcPr>
            <w:tcW w:type="dxa" w:w="5112"/>
            <w:vAlign w:val="center"/>
            <w:shd w:fill="1F4E79"/>
          </w:tcPr>
          <w:p>
            <w:r/>
            <w:r>
              <w:rPr>
                <w:rFonts w:ascii="Aptos" w:hAnsi="Aptos"/>
                <w:b/>
                <w:color w:val="FFFFFF"/>
                <w:sz w:val="17"/>
              </w:rPr>
              <w:t>Exemples</w:t>
            </w:r>
          </w:p>
        </w:tc>
      </w:tr>
      <w:tr>
        <w:tc>
          <w:tcPr>
            <w:tcW w:type="dxa" w:w="5112"/>
            <w:vAlign w:val="center"/>
          </w:tcPr>
          <w:p>
            <w:r/>
            <w:r>
              <w:rPr>
                <w:rFonts w:ascii="Aptos" w:hAnsi="Aptos"/>
                <w:b w:val="0"/>
                <w:sz w:val="17"/>
              </w:rPr>
              <w:t>Bénéficiaire</w:t>
            </w:r>
          </w:p>
        </w:tc>
        <w:tc>
          <w:tcPr>
            <w:tcW w:type="dxa" w:w="5112"/>
            <w:vAlign w:val="center"/>
          </w:tcPr>
          <w:p>
            <w:r/>
            <w:r>
              <w:rPr>
                <w:rFonts w:ascii="Aptos" w:hAnsi="Aptos"/>
                <w:b w:val="0"/>
                <w:sz w:val="17"/>
              </w:rPr>
              <w:t>Commercial, closer, chef d’équipe, autre rôle autorisé</w:t>
            </w:r>
          </w:p>
        </w:tc>
      </w:tr>
      <w:tr>
        <w:tc>
          <w:tcPr>
            <w:tcW w:type="dxa" w:w="5112"/>
            <w:vAlign w:val="center"/>
          </w:tcPr>
          <w:p>
            <w:r/>
            <w:r>
              <w:rPr>
                <w:rFonts w:ascii="Aptos" w:hAnsi="Aptos"/>
                <w:b w:val="0"/>
                <w:sz w:val="17"/>
              </w:rPr>
              <w:t>Périmètre</w:t>
            </w:r>
          </w:p>
        </w:tc>
        <w:tc>
          <w:tcPr>
            <w:tcW w:type="dxa" w:w="5112"/>
            <w:vAlign w:val="center"/>
          </w:tcPr>
          <w:p>
            <w:r/>
            <w:r>
              <w:rPr>
                <w:rFonts w:ascii="Aptos" w:hAnsi="Aptos"/>
                <w:b w:val="0"/>
                <w:sz w:val="17"/>
              </w:rPr>
              <w:t>Pays, agence, branche, produit/service</w:t>
            </w:r>
          </w:p>
        </w:tc>
      </w:tr>
      <w:tr>
        <w:tc>
          <w:tcPr>
            <w:tcW w:type="dxa" w:w="5112"/>
            <w:vAlign w:val="center"/>
          </w:tcPr>
          <w:p>
            <w:r/>
            <w:r>
              <w:rPr>
                <w:rFonts w:ascii="Aptos" w:hAnsi="Aptos"/>
                <w:b w:val="0"/>
                <w:sz w:val="17"/>
              </w:rPr>
              <w:t>Formule</w:t>
            </w:r>
          </w:p>
        </w:tc>
        <w:tc>
          <w:tcPr>
            <w:tcW w:type="dxa" w:w="5112"/>
            <w:vAlign w:val="center"/>
          </w:tcPr>
          <w:p>
            <w:r/>
            <w:r>
              <w:rPr>
                <w:rFonts w:ascii="Aptos" w:hAnsi="Aptos"/>
                <w:b w:val="0"/>
                <w:sz w:val="17"/>
              </w:rPr>
              <w:t>Pourcentage, montant fixe, paliers — à configurer selon les règles Pekegno</w:t>
            </w:r>
          </w:p>
        </w:tc>
      </w:tr>
      <w:tr>
        <w:tc>
          <w:tcPr>
            <w:tcW w:type="dxa" w:w="5112"/>
            <w:vAlign w:val="center"/>
          </w:tcPr>
          <w:p>
            <w:r/>
            <w:r>
              <w:rPr>
                <w:rFonts w:ascii="Aptos" w:hAnsi="Aptos"/>
                <w:b w:val="0"/>
                <w:sz w:val="17"/>
              </w:rPr>
              <w:t>Déclenchement</w:t>
            </w:r>
          </w:p>
        </w:tc>
        <w:tc>
          <w:tcPr>
            <w:tcW w:type="dxa" w:w="5112"/>
            <w:vAlign w:val="center"/>
          </w:tcPr>
          <w:p>
            <w:r/>
            <w:r>
              <w:rPr>
                <w:rFonts w:ascii="Aptos" w:hAnsi="Aptos"/>
                <w:b w:val="0"/>
                <w:sz w:val="17"/>
              </w:rPr>
              <w:t>À la vente, à l’encaissement, au paiement complet — règle à valider</w:t>
            </w:r>
          </w:p>
        </w:tc>
      </w:tr>
      <w:tr>
        <w:tc>
          <w:tcPr>
            <w:tcW w:type="dxa" w:w="5112"/>
            <w:vAlign w:val="center"/>
          </w:tcPr>
          <w:p>
            <w:r/>
            <w:r>
              <w:rPr>
                <w:rFonts w:ascii="Aptos" w:hAnsi="Aptos"/>
                <w:b w:val="0"/>
                <w:sz w:val="17"/>
              </w:rPr>
              <w:t>Période</w:t>
            </w:r>
          </w:p>
        </w:tc>
        <w:tc>
          <w:tcPr>
            <w:tcW w:type="dxa" w:w="5112"/>
            <w:vAlign w:val="center"/>
          </w:tcPr>
          <w:p>
            <w:r/>
            <w:r>
              <w:rPr>
                <w:rFonts w:ascii="Aptos" w:hAnsi="Aptos"/>
                <w:b w:val="0"/>
                <w:sz w:val="17"/>
              </w:rPr>
              <w:t>Date de début et fin de validité</w:t>
            </w:r>
          </w:p>
        </w:tc>
      </w:tr>
      <w:tr>
        <w:tc>
          <w:tcPr>
            <w:tcW w:type="dxa" w:w="5112"/>
            <w:vAlign w:val="center"/>
          </w:tcPr>
          <w:p>
            <w:r/>
            <w:r>
              <w:rPr>
                <w:rFonts w:ascii="Aptos" w:hAnsi="Aptos"/>
                <w:b w:val="0"/>
                <w:sz w:val="17"/>
              </w:rPr>
              <w:t>Workflow</w:t>
            </w:r>
          </w:p>
        </w:tc>
        <w:tc>
          <w:tcPr>
            <w:tcW w:type="dxa" w:w="5112"/>
            <w:vAlign w:val="center"/>
          </w:tcPr>
          <w:p>
            <w:r/>
            <w:r>
              <w:rPr>
                <w:rFonts w:ascii="Aptos" w:hAnsi="Aptos"/>
                <w:b w:val="0"/>
                <w:sz w:val="17"/>
              </w:rPr>
              <w:t>Calculée → à valider → validée → payée</w:t>
            </w:r>
          </w:p>
        </w:tc>
      </w:tr>
      <w:tr>
        <w:tc>
          <w:tcPr>
            <w:tcW w:type="dxa" w:w="5112"/>
            <w:vAlign w:val="center"/>
          </w:tcPr>
          <w:p>
            <w:r/>
            <w:r>
              <w:rPr>
                <w:rFonts w:ascii="Aptos" w:hAnsi="Aptos"/>
                <w:b w:val="0"/>
                <w:sz w:val="17"/>
              </w:rPr>
              <w:t>Traçabilité</w:t>
            </w:r>
          </w:p>
        </w:tc>
        <w:tc>
          <w:tcPr>
            <w:tcW w:type="dxa" w:w="5112"/>
            <w:vAlign w:val="center"/>
          </w:tcPr>
          <w:p>
            <w:r/>
            <w:r>
              <w:rPr>
                <w:rFonts w:ascii="Aptos" w:hAnsi="Aptos"/>
                <w:b w:val="0"/>
                <w:sz w:val="17"/>
              </w:rPr>
              <w:t>Conserver la version de règle appliquée à chaque commission</w:t>
            </w:r>
          </w:p>
        </w:tc>
      </w:tr>
    </w:tbl>
    <w:p/>
    <w:p>
      <w:r>
        <w:t>Le système doit permettre plusieurs lignes de commission sur une même vente si les règles Pekegno l’exigent.</w:t>
      </w:r>
    </w:p>
    <w:p>
      <w:pPr>
        <w:pStyle w:val="Heading1"/>
      </w:pPr>
      <w:r>
        <w:t>16. Rôles et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Rôle type</w:t>
            </w:r>
          </w:p>
        </w:tc>
        <w:tc>
          <w:tcPr>
            <w:tcW w:type="dxa" w:w="5112"/>
            <w:vAlign w:val="center"/>
            <w:shd w:fill="1F4E79"/>
          </w:tcPr>
          <w:p>
            <w:r/>
            <w:r>
              <w:rPr>
                <w:rFonts w:ascii="Aptos" w:hAnsi="Aptos"/>
                <w:b/>
                <w:color w:val="FFFFFF"/>
                <w:sz w:val="17"/>
              </w:rPr>
              <w:t>Périmètre indicatif</w:t>
            </w:r>
          </w:p>
        </w:tc>
      </w:tr>
      <w:tr>
        <w:tc>
          <w:tcPr>
            <w:tcW w:type="dxa" w:w="5112"/>
            <w:vAlign w:val="center"/>
          </w:tcPr>
          <w:p>
            <w:r/>
            <w:r>
              <w:rPr>
                <w:rFonts w:ascii="Aptos" w:hAnsi="Aptos"/>
                <w:b w:val="0"/>
                <w:sz w:val="17"/>
              </w:rPr>
              <w:t>Super Admin</w:t>
            </w:r>
          </w:p>
        </w:tc>
        <w:tc>
          <w:tcPr>
            <w:tcW w:type="dxa" w:w="5112"/>
            <w:vAlign w:val="center"/>
          </w:tcPr>
          <w:p>
            <w:r/>
            <w:r>
              <w:rPr>
                <w:rFonts w:ascii="Aptos" w:hAnsi="Aptos"/>
                <w:b w:val="0"/>
                <w:sz w:val="17"/>
              </w:rPr>
              <w:t>Groupe entier</w:t>
            </w:r>
          </w:p>
        </w:tc>
      </w:tr>
      <w:tr>
        <w:tc>
          <w:tcPr>
            <w:tcW w:type="dxa" w:w="5112"/>
            <w:vAlign w:val="center"/>
          </w:tcPr>
          <w:p>
            <w:r/>
            <w:r>
              <w:rPr>
                <w:rFonts w:ascii="Aptos" w:hAnsi="Aptos"/>
                <w:b w:val="0"/>
                <w:sz w:val="17"/>
              </w:rPr>
              <w:t>Country Manager</w:t>
            </w:r>
          </w:p>
        </w:tc>
        <w:tc>
          <w:tcPr>
            <w:tcW w:type="dxa" w:w="5112"/>
            <w:vAlign w:val="center"/>
          </w:tcPr>
          <w:p>
            <w:r/>
            <w:r>
              <w:rPr>
                <w:rFonts w:ascii="Aptos" w:hAnsi="Aptos"/>
                <w:b w:val="0"/>
                <w:sz w:val="17"/>
              </w:rPr>
              <w:t>Pays autorisé</w:t>
            </w:r>
          </w:p>
        </w:tc>
      </w:tr>
      <w:tr>
        <w:tc>
          <w:tcPr>
            <w:tcW w:type="dxa" w:w="5112"/>
            <w:vAlign w:val="center"/>
          </w:tcPr>
          <w:p>
            <w:r/>
            <w:r>
              <w:rPr>
                <w:rFonts w:ascii="Aptos" w:hAnsi="Aptos"/>
                <w:b w:val="0"/>
                <w:sz w:val="17"/>
              </w:rPr>
              <w:t>Chef d’agence</w:t>
            </w:r>
          </w:p>
        </w:tc>
        <w:tc>
          <w:tcPr>
            <w:tcW w:type="dxa" w:w="5112"/>
            <w:vAlign w:val="center"/>
          </w:tcPr>
          <w:p>
            <w:r/>
            <w:r>
              <w:rPr>
                <w:rFonts w:ascii="Aptos" w:hAnsi="Aptos"/>
                <w:b w:val="0"/>
                <w:sz w:val="17"/>
              </w:rPr>
              <w:t>Agence autorisée</w:t>
            </w:r>
          </w:p>
        </w:tc>
      </w:tr>
      <w:tr>
        <w:tc>
          <w:tcPr>
            <w:tcW w:type="dxa" w:w="5112"/>
            <w:vAlign w:val="center"/>
          </w:tcPr>
          <w:p>
            <w:r/>
            <w:r>
              <w:rPr>
                <w:rFonts w:ascii="Aptos" w:hAnsi="Aptos"/>
                <w:b w:val="0"/>
                <w:sz w:val="17"/>
              </w:rPr>
              <w:t>Responsable branche</w:t>
            </w:r>
          </w:p>
        </w:tc>
        <w:tc>
          <w:tcPr>
            <w:tcW w:type="dxa" w:w="5112"/>
            <w:vAlign w:val="center"/>
          </w:tcPr>
          <w:p>
            <w:r/>
            <w:r>
              <w:rPr>
                <w:rFonts w:ascii="Aptos" w:hAnsi="Aptos"/>
                <w:b w:val="0"/>
                <w:sz w:val="17"/>
              </w:rPr>
              <w:t>Branche autorisée</w:t>
            </w:r>
          </w:p>
        </w:tc>
      </w:tr>
      <w:tr>
        <w:tc>
          <w:tcPr>
            <w:tcW w:type="dxa" w:w="5112"/>
            <w:vAlign w:val="center"/>
          </w:tcPr>
          <w:p>
            <w:r/>
            <w:r>
              <w:rPr>
                <w:rFonts w:ascii="Aptos" w:hAnsi="Aptos"/>
                <w:b w:val="0"/>
                <w:sz w:val="17"/>
              </w:rPr>
              <w:t>Finance / Comptable</w:t>
            </w:r>
          </w:p>
        </w:tc>
        <w:tc>
          <w:tcPr>
            <w:tcW w:type="dxa" w:w="5112"/>
            <w:vAlign w:val="center"/>
          </w:tcPr>
          <w:p>
            <w:r/>
            <w:r>
              <w:rPr>
                <w:rFonts w:ascii="Aptos" w:hAnsi="Aptos"/>
                <w:b w:val="0"/>
                <w:sz w:val="17"/>
              </w:rPr>
              <w:t>Modules financiers selon permissions</w:t>
            </w:r>
          </w:p>
        </w:tc>
      </w:tr>
      <w:tr>
        <w:tc>
          <w:tcPr>
            <w:tcW w:type="dxa" w:w="5112"/>
            <w:vAlign w:val="center"/>
          </w:tcPr>
          <w:p>
            <w:r/>
            <w:r>
              <w:rPr>
                <w:rFonts w:ascii="Aptos" w:hAnsi="Aptos"/>
                <w:b w:val="0"/>
                <w:sz w:val="17"/>
              </w:rPr>
              <w:t>Commercial</w:t>
            </w:r>
          </w:p>
        </w:tc>
        <w:tc>
          <w:tcPr>
            <w:tcW w:type="dxa" w:w="5112"/>
            <w:vAlign w:val="center"/>
          </w:tcPr>
          <w:p>
            <w:r/>
            <w:r>
              <w:rPr>
                <w:rFonts w:ascii="Aptos" w:hAnsi="Aptos"/>
                <w:b w:val="0"/>
                <w:sz w:val="17"/>
              </w:rPr>
              <w:t>Ses prospects, clients, ventes et commissions selon politique</w:t>
            </w:r>
          </w:p>
        </w:tc>
      </w:tr>
      <w:tr>
        <w:tc>
          <w:tcPr>
            <w:tcW w:type="dxa" w:w="5112"/>
            <w:vAlign w:val="center"/>
          </w:tcPr>
          <w:p>
            <w:r/>
            <w:r>
              <w:rPr>
                <w:rFonts w:ascii="Aptos" w:hAnsi="Aptos"/>
                <w:b w:val="0"/>
                <w:sz w:val="17"/>
              </w:rPr>
              <w:t>Community Manager</w:t>
            </w:r>
          </w:p>
        </w:tc>
        <w:tc>
          <w:tcPr>
            <w:tcW w:type="dxa" w:w="5112"/>
            <w:vAlign w:val="center"/>
          </w:tcPr>
          <w:p>
            <w:r/>
            <w:r>
              <w:rPr>
                <w:rFonts w:ascii="Aptos" w:hAnsi="Aptos"/>
                <w:b w:val="0"/>
                <w:sz w:val="17"/>
              </w:rPr>
              <w:t>Clients Agency affectés</w:t>
            </w:r>
          </w:p>
        </w:tc>
      </w:tr>
      <w:tr>
        <w:tc>
          <w:tcPr>
            <w:tcW w:type="dxa" w:w="5112"/>
            <w:vAlign w:val="center"/>
          </w:tcPr>
          <w:p>
            <w:r/>
            <w:r>
              <w:rPr>
                <w:rFonts w:ascii="Aptos" w:hAnsi="Aptos"/>
                <w:b w:val="0"/>
                <w:sz w:val="17"/>
              </w:rPr>
              <w:t>Formateur</w:t>
            </w:r>
          </w:p>
        </w:tc>
        <w:tc>
          <w:tcPr>
            <w:tcW w:type="dxa" w:w="5112"/>
            <w:vAlign w:val="center"/>
          </w:tcPr>
          <w:p>
            <w:r/>
            <w:r>
              <w:rPr>
                <w:rFonts w:ascii="Aptos" w:hAnsi="Aptos"/>
                <w:b w:val="0"/>
                <w:sz w:val="17"/>
              </w:rPr>
              <w:t>Sessions/apprenants autorisés</w:t>
            </w:r>
          </w:p>
        </w:tc>
      </w:tr>
      <w:tr>
        <w:tc>
          <w:tcPr>
            <w:tcW w:type="dxa" w:w="5112"/>
            <w:vAlign w:val="center"/>
          </w:tcPr>
          <w:p>
            <w:r/>
            <w:r>
              <w:rPr>
                <w:rFonts w:ascii="Aptos" w:hAnsi="Aptos"/>
                <w:b w:val="0"/>
                <w:sz w:val="17"/>
              </w:rPr>
              <w:t>Gestionnaire stock</w:t>
            </w:r>
          </w:p>
        </w:tc>
        <w:tc>
          <w:tcPr>
            <w:tcW w:type="dxa" w:w="5112"/>
            <w:vAlign w:val="center"/>
          </w:tcPr>
          <w:p>
            <w:r/>
            <w:r>
              <w:rPr>
                <w:rFonts w:ascii="Aptos" w:hAnsi="Aptos"/>
                <w:b w:val="0"/>
                <w:sz w:val="17"/>
              </w:rPr>
              <w:t>Stocks et mouvements autorisés</w:t>
            </w:r>
          </w:p>
        </w:tc>
      </w:tr>
      <w:tr>
        <w:tc>
          <w:tcPr>
            <w:tcW w:type="dxa" w:w="5112"/>
            <w:vAlign w:val="center"/>
          </w:tcPr>
          <w:p>
            <w:r/>
            <w:r>
              <w:rPr>
                <w:rFonts w:ascii="Aptos" w:hAnsi="Aptos"/>
                <w:b w:val="0"/>
                <w:sz w:val="17"/>
              </w:rPr>
              <w:t>Lecture seule</w:t>
            </w:r>
          </w:p>
        </w:tc>
        <w:tc>
          <w:tcPr>
            <w:tcW w:type="dxa" w:w="5112"/>
            <w:vAlign w:val="center"/>
          </w:tcPr>
          <w:p>
            <w:r/>
            <w:r>
              <w:rPr>
                <w:rFonts w:ascii="Aptos" w:hAnsi="Aptos"/>
                <w:b w:val="0"/>
                <w:sz w:val="17"/>
              </w:rPr>
              <w:t>Rapports/périmètres autorisés</w:t>
            </w:r>
          </w:p>
        </w:tc>
      </w:tr>
    </w:tbl>
    <w:p/>
    <w:p>
      <w:r>
        <w:t>Principe recommandé : Permission = rôle + périmètre organisationnel + éventuelles exceptions.</w:t>
      </w:r>
    </w:p>
    <w:p>
      <w:pPr>
        <w:pStyle w:val="Heading1"/>
      </w:pPr>
      <w:r>
        <w:t>17. Notifications, tâches et automatisations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Déclencheur</w:t>
            </w:r>
          </w:p>
        </w:tc>
        <w:tc>
          <w:tcPr>
            <w:tcW w:type="dxa" w:w="5112"/>
            <w:vAlign w:val="center"/>
            <w:shd w:fill="1F4E79"/>
          </w:tcPr>
          <w:p>
            <w:r/>
            <w:r>
              <w:rPr>
                <w:rFonts w:ascii="Aptos" w:hAnsi="Aptos"/>
                <w:b/>
                <w:color w:val="FFFFFF"/>
                <w:sz w:val="17"/>
              </w:rPr>
              <w:t>Actions possibles</w:t>
            </w:r>
          </w:p>
        </w:tc>
      </w:tr>
      <w:tr>
        <w:tc>
          <w:tcPr>
            <w:tcW w:type="dxa" w:w="5112"/>
            <w:vAlign w:val="center"/>
          </w:tcPr>
          <w:p>
            <w:r/>
            <w:r>
              <w:rPr>
                <w:rFonts w:ascii="Aptos" w:hAnsi="Aptos"/>
                <w:b w:val="0"/>
                <w:sz w:val="17"/>
              </w:rPr>
              <w:t>Paiement reçu</w:t>
            </w:r>
          </w:p>
        </w:tc>
        <w:tc>
          <w:tcPr>
            <w:tcW w:type="dxa" w:w="5112"/>
            <w:vAlign w:val="center"/>
          </w:tcPr>
          <w:p>
            <w:r/>
            <w:r>
              <w:rPr>
                <w:rFonts w:ascii="Aptos" w:hAnsi="Aptos"/>
                <w:b w:val="0"/>
                <w:sz w:val="17"/>
              </w:rPr>
              <w:t>Mettre à jour encaissement, solde, trésorerie, commission, dashboard, audit</w:t>
            </w:r>
          </w:p>
        </w:tc>
      </w:tr>
      <w:tr>
        <w:tc>
          <w:tcPr>
            <w:tcW w:type="dxa" w:w="5112"/>
            <w:vAlign w:val="center"/>
          </w:tcPr>
          <w:p>
            <w:r/>
            <w:r>
              <w:rPr>
                <w:rFonts w:ascii="Aptos" w:hAnsi="Aptos"/>
                <w:b w:val="0"/>
                <w:sz w:val="17"/>
              </w:rPr>
              <w:t>Renouvellement proche</w:t>
            </w:r>
          </w:p>
        </w:tc>
        <w:tc>
          <w:tcPr>
            <w:tcW w:type="dxa" w:w="5112"/>
            <w:vAlign w:val="center"/>
          </w:tcPr>
          <w:p>
            <w:r/>
            <w:r>
              <w:rPr>
                <w:rFonts w:ascii="Aptos" w:hAnsi="Aptos"/>
                <w:b w:val="0"/>
                <w:sz w:val="17"/>
              </w:rPr>
              <w:t>Notifier, créer tâche de relance, escalader selon délai</w:t>
            </w:r>
          </w:p>
        </w:tc>
      </w:tr>
      <w:tr>
        <w:tc>
          <w:tcPr>
            <w:tcW w:type="dxa" w:w="5112"/>
            <w:vAlign w:val="center"/>
          </w:tcPr>
          <w:p>
            <w:r/>
            <w:r>
              <w:rPr>
                <w:rFonts w:ascii="Aptos" w:hAnsi="Aptos"/>
                <w:b w:val="0"/>
                <w:sz w:val="17"/>
              </w:rPr>
              <w:t>Créance échue</w:t>
            </w:r>
          </w:p>
        </w:tc>
        <w:tc>
          <w:tcPr>
            <w:tcW w:type="dxa" w:w="5112"/>
            <w:vAlign w:val="center"/>
          </w:tcPr>
          <w:p>
            <w:r/>
            <w:r>
              <w:rPr>
                <w:rFonts w:ascii="Aptos" w:hAnsi="Aptos"/>
                <w:b w:val="0"/>
                <w:sz w:val="17"/>
              </w:rPr>
              <w:t>Alerter commercial/finance et créer relance</w:t>
            </w:r>
          </w:p>
        </w:tc>
      </w:tr>
      <w:tr>
        <w:tc>
          <w:tcPr>
            <w:tcW w:type="dxa" w:w="5112"/>
            <w:vAlign w:val="center"/>
          </w:tcPr>
          <w:p>
            <w:r/>
            <w:r>
              <w:rPr>
                <w:rFonts w:ascii="Aptos" w:hAnsi="Aptos"/>
                <w:b w:val="0"/>
                <w:sz w:val="17"/>
              </w:rPr>
              <w:t>Stock sous seuil</w:t>
            </w:r>
          </w:p>
        </w:tc>
        <w:tc>
          <w:tcPr>
            <w:tcW w:type="dxa" w:w="5112"/>
            <w:vAlign w:val="center"/>
          </w:tcPr>
          <w:p>
            <w:r/>
            <w:r>
              <w:rPr>
                <w:rFonts w:ascii="Aptos" w:hAnsi="Aptos"/>
                <w:b w:val="0"/>
                <w:sz w:val="17"/>
              </w:rPr>
              <w:t>Alerter Store / approvisionnement</w:t>
            </w:r>
          </w:p>
        </w:tc>
      </w:tr>
      <w:tr>
        <w:tc>
          <w:tcPr>
            <w:tcW w:type="dxa" w:w="5112"/>
            <w:vAlign w:val="center"/>
          </w:tcPr>
          <w:p>
            <w:r/>
            <w:r>
              <w:rPr>
                <w:rFonts w:ascii="Aptos" w:hAnsi="Aptos"/>
                <w:b w:val="0"/>
                <w:sz w:val="17"/>
              </w:rPr>
              <w:t>Dépense soumise</w:t>
            </w:r>
          </w:p>
        </w:tc>
        <w:tc>
          <w:tcPr>
            <w:tcW w:type="dxa" w:w="5112"/>
            <w:vAlign w:val="center"/>
          </w:tcPr>
          <w:p>
            <w:r/>
            <w:r>
              <w:rPr>
                <w:rFonts w:ascii="Aptos" w:hAnsi="Aptos"/>
                <w:b w:val="0"/>
                <w:sz w:val="17"/>
              </w:rPr>
              <w:t>Notifier le validateur</w:t>
            </w:r>
          </w:p>
        </w:tc>
      </w:tr>
      <w:tr>
        <w:tc>
          <w:tcPr>
            <w:tcW w:type="dxa" w:w="5112"/>
            <w:vAlign w:val="center"/>
          </w:tcPr>
          <w:p>
            <w:r/>
            <w:r>
              <w:rPr>
                <w:rFonts w:ascii="Aptos" w:hAnsi="Aptos"/>
                <w:b w:val="0"/>
                <w:sz w:val="17"/>
              </w:rPr>
              <w:t>Objectif proche/atteint</w:t>
            </w:r>
          </w:p>
        </w:tc>
        <w:tc>
          <w:tcPr>
            <w:tcW w:type="dxa" w:w="5112"/>
            <w:vAlign w:val="center"/>
          </w:tcPr>
          <w:p>
            <w:r/>
            <w:r>
              <w:rPr>
                <w:rFonts w:ascii="Aptos" w:hAnsi="Aptos"/>
                <w:b w:val="0"/>
                <w:sz w:val="17"/>
              </w:rPr>
              <w:t>Mettre à jour performance et notification éventuelle</w:t>
            </w:r>
          </w:p>
        </w:tc>
      </w:tr>
    </w:tbl>
    <w:p/>
    <w:p>
      <w:r>
        <w:t>Les délais, seuils et destinataires doivent être configurables et validés avec Pekegno.</w:t>
      </w:r>
    </w:p>
    <w:p>
      <w:pPr>
        <w:pStyle w:val="Heading1"/>
      </w:pPr>
      <w:r>
        <w:t>18. Rapports et filtres</w:t>
      </w:r>
    </w:p>
    <w:p>
      <w:pPr>
        <w:pStyle w:val="ListBullet"/>
        <w:spacing w:after="40"/>
      </w:pPr>
      <w:r>
        <w:t>Filtres communs : période, pays, agence, branche, produit/service, commercial.</w:t>
      </w:r>
    </w:p>
    <w:p>
      <w:pPr>
        <w:pStyle w:val="ListBullet"/>
        <w:spacing w:after="40"/>
      </w:pPr>
      <w:r>
        <w:t>Rapports direction : Groupe, pays, agences, branches.</w:t>
      </w:r>
    </w:p>
    <w:p>
      <w:pPr>
        <w:pStyle w:val="ListBullet"/>
        <w:spacing w:after="40"/>
      </w:pPr>
      <w:r>
        <w:t>Rapports commerciaux : CA, conversion, objectifs, commissions.</w:t>
      </w:r>
    </w:p>
    <w:p>
      <w:pPr>
        <w:pStyle w:val="ListBullet"/>
        <w:spacing w:after="40"/>
      </w:pPr>
      <w:r>
        <w:t>Rapports finance : encaissements, créances, dépenses, trésorerie.</w:t>
      </w:r>
    </w:p>
    <w:p>
      <w:pPr>
        <w:pStyle w:val="ListBullet"/>
        <w:spacing w:after="40"/>
      </w:pPr>
      <w:r>
        <w:t>Rapports Academy : inscriptions, sessions, paiements, remplissage.</w:t>
      </w:r>
    </w:p>
    <w:p>
      <w:pPr>
        <w:pStyle w:val="ListBullet"/>
        <w:spacing w:after="40"/>
      </w:pPr>
      <w:r>
        <w:t>Rapports Agency : clients, renouvellements, revenu récurrent selon définition validée.</w:t>
      </w:r>
    </w:p>
    <w:p>
      <w:pPr>
        <w:pStyle w:val="ListBullet"/>
        <w:spacing w:after="40"/>
      </w:pPr>
      <w:r>
        <w:t>Rapports Store : ventes, stock, rotation, marge selon données disponibles.</w:t>
      </w:r>
    </w:p>
    <w:p>
      <w:pPr>
        <w:pStyle w:val="ListBullet"/>
        <w:spacing w:after="40"/>
      </w:pPr>
      <w:r>
        <w:t>Rapports Studio : projets, ventes, paiements et rentabilité selon données disponibles.</w:t>
      </w:r>
    </w:p>
    <w:p>
      <w:pPr>
        <w:pStyle w:val="ListBullet"/>
        <w:spacing w:after="40"/>
      </w:pPr>
      <w:r>
        <w:t>Exports selon besoins validés : Excel/PDF/CSV.</w:t>
      </w:r>
    </w:p>
    <w:p>
      <w:pPr>
        <w:pStyle w:val="Heading1"/>
      </w:pPr>
      <w:r>
        <w:t>19. Modèle de données conceptuel</w:t>
      </w:r>
    </w:p>
    <w:p>
      <w:pPr>
        <w:spacing w:before="60" w:after="120"/>
        <w:ind w:left="360"/>
      </w:pPr>
      <w:r>
        <w:rPr>
          <w:rFonts w:ascii="Consolas" w:hAnsi="Consolas"/>
          <w:sz w:val="17"/>
        </w:rPr>
        <w:t>ORGANISATION</w:t>
        <w:br/>
        <w:t>Country → Agency → Branch</w:t>
        <w:br/>
        <w:br/>
        <w:t>CRM</w:t>
        <w:br/>
        <w:t>Contact / Company → Lead → Opportunity → Activity</w:t>
        <w:br/>
        <w:br/>
        <w:t>CATALOGUE</w:t>
        <w:br/>
        <w:t>Category → Product/Service → Price/Package</w:t>
        <w:br/>
        <w:br/>
        <w:t>VENTES</w:t>
        <w:br/>
        <w:t>Customer → Sale/Order → Invoice → Payment</w:t>
        <w:br/>
        <w:t xml:space="preserve">                         └→ Receivable</w:t>
        <w:br/>
        <w:t xml:space="preserve">                         └→ Commission Entry</w:t>
        <w:br/>
        <w:br/>
        <w:t>FINANCE</w:t>
        <w:br/>
        <w:t>Treasury Account → Transaction</w:t>
        <w:br/>
        <w:t>Expense → Approval → Payment</w:t>
        <w:br/>
        <w:t>Transfer → Reconciliation</w:t>
        <w:br/>
        <w:br/>
        <w:t>ACADEMY</w:t>
        <w:br/>
        <w:t>Course → Session → Enrollment → Attendance → Certificate</w:t>
        <w:br/>
        <w:br/>
        <w:t>AGENCY</w:t>
        <w:br/>
        <w:t>Client → Contract → Service → Renewal / Campaign</w:t>
        <w:br/>
        <w:br/>
        <w:t>STORE</w:t>
        <w:br/>
        <w:t>Product/SKU → Warehouse → Stock Movement → Purchase/Order/Delivery/Return</w:t>
        <w:br/>
        <w:br/>
        <w:t>STUDIO</w:t>
        <w:br/>
        <w:t>Client → Quote → Project → Task/Production → Revision → Deliverable</w:t>
      </w:r>
    </w:p>
    <w:p>
      <w:pPr>
        <w:pStyle w:val="Heading1"/>
      </w:pPr>
      <w:r>
        <w:t>20. Règles de qualité des données</w:t>
      </w:r>
    </w:p>
    <w:p>
      <w:pPr>
        <w:pStyle w:val="ListBullet"/>
        <w:spacing w:after="40"/>
      </w:pPr>
      <w:r>
        <w:t>Éviter les doublons clients, employés, produits et formations.</w:t>
      </w:r>
    </w:p>
    <w:p>
      <w:pPr>
        <w:pStyle w:val="ListBullet"/>
        <w:spacing w:after="40"/>
      </w:pPr>
      <w:r>
        <w:t>Utiliser des statuts contrôlés plutôt que du texte libre pour les états métier.</w:t>
      </w:r>
    </w:p>
    <w:p>
      <w:pPr>
        <w:pStyle w:val="ListBullet"/>
        <w:spacing w:after="40"/>
      </w:pPr>
      <w:r>
        <w:t>Calculer les totaux et soldes dérivables au lieu de les ressaisir.</w:t>
      </w:r>
    </w:p>
    <w:p>
      <w:pPr>
        <w:pStyle w:val="ListBullet"/>
        <w:spacing w:after="40"/>
      </w:pPr>
      <w:r>
        <w:t>Conserver l’historique des modifications sensibles.</w:t>
      </w:r>
    </w:p>
    <w:p>
      <w:pPr>
        <w:pStyle w:val="ListBullet"/>
        <w:spacing w:after="40"/>
      </w:pPr>
      <w:r>
        <w:t>Ne pas supprimer silencieusement les transactions financières validées : utiliser annulation/correction traçable.</w:t>
      </w:r>
    </w:p>
    <w:p>
      <w:pPr>
        <w:pStyle w:val="ListBullet"/>
        <w:spacing w:after="40"/>
      </w:pPr>
      <w:r>
        <w:t>Conserver la règle/version ayant généré une commission.</w:t>
      </w:r>
    </w:p>
    <w:p>
      <w:pPr>
        <w:pStyle w:val="ListBullet"/>
        <w:spacing w:after="40"/>
      </w:pPr>
      <w:r>
        <w:t>Prévoir des références lisibles en complément des identifiants techniques.</w:t>
      </w:r>
    </w:p>
    <w:p>
      <w:pPr>
        <w:pStyle w:val="Heading1"/>
      </w:pPr>
      <w:r>
        <w:t>21. Migration des Google Sheets 2022–2026</w:t>
      </w:r>
    </w:p>
    <w:p>
      <w:pPr>
        <w:spacing w:before="60" w:after="120"/>
        <w:ind w:left="360"/>
      </w:pPr>
      <w:r>
        <w:rPr>
          <w:rFonts w:ascii="Consolas" w:hAnsi="Consolas"/>
          <w:sz w:val="17"/>
        </w:rPr>
        <w:t>Inventaire → Sauvegarde → Mapping → Nettoyage → Normalisation → Déduplication → Import test → Contrôle → Import final → Archivage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Étape</w:t>
            </w:r>
          </w:p>
        </w:tc>
        <w:tc>
          <w:tcPr>
            <w:tcW w:type="dxa" w:w="5112"/>
            <w:vAlign w:val="center"/>
            <w:shd w:fill="1F4E79"/>
          </w:tcPr>
          <w:p>
            <w:r/>
            <w:r>
              <w:rPr>
                <w:rFonts w:ascii="Aptos" w:hAnsi="Aptos"/>
                <w:b/>
                <w:color w:val="FFFFFF"/>
                <w:sz w:val="17"/>
              </w:rPr>
              <w:t>Livrable</w:t>
            </w:r>
          </w:p>
        </w:tc>
      </w:tr>
      <w:tr>
        <w:tc>
          <w:tcPr>
            <w:tcW w:type="dxa" w:w="5112"/>
            <w:vAlign w:val="center"/>
          </w:tcPr>
          <w:p>
            <w:r/>
            <w:r>
              <w:rPr>
                <w:rFonts w:ascii="Aptos" w:hAnsi="Aptos"/>
                <w:b w:val="0"/>
                <w:sz w:val="17"/>
              </w:rPr>
              <w:t>Inventaire</w:t>
            </w:r>
          </w:p>
        </w:tc>
        <w:tc>
          <w:tcPr>
            <w:tcW w:type="dxa" w:w="5112"/>
            <w:vAlign w:val="center"/>
          </w:tcPr>
          <w:p>
            <w:r/>
            <w:r>
              <w:rPr>
                <w:rFonts w:ascii="Aptos" w:hAnsi="Aptos"/>
                <w:b w:val="0"/>
                <w:sz w:val="17"/>
              </w:rPr>
              <w:t>Liste des Sheets, onglets, colonnes et périodes</w:t>
            </w:r>
          </w:p>
        </w:tc>
      </w:tr>
      <w:tr>
        <w:tc>
          <w:tcPr>
            <w:tcW w:type="dxa" w:w="5112"/>
            <w:vAlign w:val="center"/>
          </w:tcPr>
          <w:p>
            <w:r/>
            <w:r>
              <w:rPr>
                <w:rFonts w:ascii="Aptos" w:hAnsi="Aptos"/>
                <w:b w:val="0"/>
                <w:sz w:val="17"/>
              </w:rPr>
              <w:t>Mapping</w:t>
            </w:r>
          </w:p>
        </w:tc>
        <w:tc>
          <w:tcPr>
            <w:tcW w:type="dxa" w:w="5112"/>
            <w:vAlign w:val="center"/>
          </w:tcPr>
          <w:p>
            <w:r/>
            <w:r>
              <w:rPr>
                <w:rFonts w:ascii="Aptos" w:hAnsi="Aptos"/>
                <w:b w:val="0"/>
                <w:sz w:val="17"/>
              </w:rPr>
              <w:t>Ancienne colonne → nouvelle entité/champ</w:t>
            </w:r>
          </w:p>
        </w:tc>
      </w:tr>
      <w:tr>
        <w:tc>
          <w:tcPr>
            <w:tcW w:type="dxa" w:w="5112"/>
            <w:vAlign w:val="center"/>
          </w:tcPr>
          <w:p>
            <w:r/>
            <w:r>
              <w:rPr>
                <w:rFonts w:ascii="Aptos" w:hAnsi="Aptos"/>
                <w:b w:val="0"/>
                <w:sz w:val="17"/>
              </w:rPr>
              <w:t>Nettoyage</w:t>
            </w:r>
          </w:p>
        </w:tc>
        <w:tc>
          <w:tcPr>
            <w:tcW w:type="dxa" w:w="5112"/>
            <w:vAlign w:val="center"/>
          </w:tcPr>
          <w:p>
            <w:r/>
            <w:r>
              <w:rPr>
                <w:rFonts w:ascii="Aptos" w:hAnsi="Aptos"/>
                <w:b w:val="0"/>
                <w:sz w:val="17"/>
              </w:rPr>
              <w:t>Formats dates, numéros, montants, noms</w:t>
            </w:r>
          </w:p>
        </w:tc>
      </w:tr>
      <w:tr>
        <w:tc>
          <w:tcPr>
            <w:tcW w:type="dxa" w:w="5112"/>
            <w:vAlign w:val="center"/>
          </w:tcPr>
          <w:p>
            <w:r/>
            <w:r>
              <w:rPr>
                <w:rFonts w:ascii="Aptos" w:hAnsi="Aptos"/>
                <w:b w:val="0"/>
                <w:sz w:val="17"/>
              </w:rPr>
              <w:t>Déduplication</w:t>
            </w:r>
          </w:p>
        </w:tc>
        <w:tc>
          <w:tcPr>
            <w:tcW w:type="dxa" w:w="5112"/>
            <w:vAlign w:val="center"/>
          </w:tcPr>
          <w:p>
            <w:r/>
            <w:r>
              <w:rPr>
                <w:rFonts w:ascii="Aptos" w:hAnsi="Aptos"/>
                <w:b w:val="0"/>
                <w:sz w:val="17"/>
              </w:rPr>
              <w:t>Clients, employés, formations, produits</w:t>
            </w:r>
          </w:p>
        </w:tc>
      </w:tr>
      <w:tr>
        <w:tc>
          <w:tcPr>
            <w:tcW w:type="dxa" w:w="5112"/>
            <w:vAlign w:val="center"/>
          </w:tcPr>
          <w:p>
            <w:r/>
            <w:r>
              <w:rPr>
                <w:rFonts w:ascii="Aptos" w:hAnsi="Aptos"/>
                <w:b w:val="0"/>
                <w:sz w:val="17"/>
              </w:rPr>
              <w:t>Validation</w:t>
            </w:r>
          </w:p>
        </w:tc>
        <w:tc>
          <w:tcPr>
            <w:tcW w:type="dxa" w:w="5112"/>
            <w:vAlign w:val="center"/>
          </w:tcPr>
          <w:p>
            <w:r/>
            <w:r>
              <w:rPr>
                <w:rFonts w:ascii="Aptos" w:hAnsi="Aptos"/>
                <w:b w:val="0"/>
                <w:sz w:val="17"/>
              </w:rPr>
              <w:t>Échantillons comparés aux totaux historiques</w:t>
            </w:r>
          </w:p>
        </w:tc>
      </w:tr>
      <w:tr>
        <w:tc>
          <w:tcPr>
            <w:tcW w:type="dxa" w:w="5112"/>
            <w:vAlign w:val="center"/>
          </w:tcPr>
          <w:p>
            <w:r/>
            <w:r>
              <w:rPr>
                <w:rFonts w:ascii="Aptos" w:hAnsi="Aptos"/>
                <w:b w:val="0"/>
                <w:sz w:val="17"/>
              </w:rPr>
              <w:t>Import final</w:t>
            </w:r>
          </w:p>
        </w:tc>
        <w:tc>
          <w:tcPr>
            <w:tcW w:type="dxa" w:w="5112"/>
            <w:vAlign w:val="center"/>
          </w:tcPr>
          <w:p>
            <w:r/>
            <w:r>
              <w:rPr>
                <w:rFonts w:ascii="Aptos" w:hAnsi="Aptos"/>
                <w:b w:val="0"/>
                <w:sz w:val="17"/>
              </w:rPr>
              <w:t>Journal d’import et anomalies non résolues</w:t>
            </w:r>
          </w:p>
        </w:tc>
      </w:tr>
    </w:tbl>
    <w:p/>
    <w:p>
      <w:r>
        <w:t>Les données historiques incertaines doivent être identifiées comme telles plutôt que transformées automatiquement en données comptables certifiées.</w:t>
      </w:r>
    </w:p>
    <w:p>
      <w:pPr>
        <w:pStyle w:val="Heading1"/>
      </w:pPr>
      <w:r>
        <w:t>22. Dictionnaire KPI à valider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KPI</w:t>
            </w:r>
          </w:p>
        </w:tc>
        <w:tc>
          <w:tcPr>
            <w:tcW w:type="dxa" w:w="5112"/>
            <w:vAlign w:val="center"/>
            <w:shd w:fill="1F4E79"/>
          </w:tcPr>
          <w:p>
            <w:r/>
            <w:r>
              <w:rPr>
                <w:rFonts w:ascii="Aptos" w:hAnsi="Aptos"/>
                <w:b/>
                <w:color w:val="FFFFFF"/>
                <w:sz w:val="17"/>
              </w:rPr>
              <w:t>Définition à figer avant développement</w:t>
            </w:r>
          </w:p>
        </w:tc>
      </w:tr>
      <w:tr>
        <w:tc>
          <w:tcPr>
            <w:tcW w:type="dxa" w:w="5112"/>
            <w:vAlign w:val="center"/>
          </w:tcPr>
          <w:p>
            <w:r/>
            <w:r>
              <w:rPr>
                <w:rFonts w:ascii="Aptos" w:hAnsi="Aptos"/>
                <w:b w:val="0"/>
                <w:sz w:val="17"/>
              </w:rPr>
              <w:t>Chiffre d’affaires</w:t>
            </w:r>
          </w:p>
        </w:tc>
        <w:tc>
          <w:tcPr>
            <w:tcW w:type="dxa" w:w="5112"/>
            <w:vAlign w:val="center"/>
          </w:tcPr>
          <w:p>
            <w:r/>
            <w:r>
              <w:rPr>
                <w:rFonts w:ascii="Aptos" w:hAnsi="Aptos"/>
                <w:b w:val="0"/>
                <w:sz w:val="17"/>
              </w:rPr>
              <w:t>À définir/valider avec la direction financière/comptable</w:t>
            </w:r>
          </w:p>
        </w:tc>
      </w:tr>
      <w:tr>
        <w:tc>
          <w:tcPr>
            <w:tcW w:type="dxa" w:w="5112"/>
            <w:vAlign w:val="center"/>
          </w:tcPr>
          <w:p>
            <w:r/>
            <w:r>
              <w:rPr>
                <w:rFonts w:ascii="Aptos" w:hAnsi="Aptos"/>
                <w:b w:val="0"/>
                <w:sz w:val="17"/>
              </w:rPr>
              <w:t>Facturé</w:t>
            </w:r>
          </w:p>
        </w:tc>
        <w:tc>
          <w:tcPr>
            <w:tcW w:type="dxa" w:w="5112"/>
            <w:vAlign w:val="center"/>
          </w:tcPr>
          <w:p>
            <w:r/>
            <w:r>
              <w:rPr>
                <w:rFonts w:ascii="Aptos" w:hAnsi="Aptos"/>
                <w:b w:val="0"/>
                <w:sz w:val="17"/>
              </w:rPr>
              <w:t>Somme des factures validées sur la période, selon règles à préciser</w:t>
            </w:r>
          </w:p>
        </w:tc>
      </w:tr>
      <w:tr>
        <w:tc>
          <w:tcPr>
            <w:tcW w:type="dxa" w:w="5112"/>
            <w:vAlign w:val="center"/>
          </w:tcPr>
          <w:p>
            <w:r/>
            <w:r>
              <w:rPr>
                <w:rFonts w:ascii="Aptos" w:hAnsi="Aptos"/>
                <w:b w:val="0"/>
                <w:sz w:val="17"/>
              </w:rPr>
              <w:t>Encaissements</w:t>
            </w:r>
          </w:p>
        </w:tc>
        <w:tc>
          <w:tcPr>
            <w:tcW w:type="dxa" w:w="5112"/>
            <w:vAlign w:val="center"/>
          </w:tcPr>
          <w:p>
            <w:r/>
            <w:r>
              <w:rPr>
                <w:rFonts w:ascii="Aptos" w:hAnsi="Aptos"/>
                <w:b w:val="0"/>
                <w:sz w:val="17"/>
              </w:rPr>
              <w:t>Somme des paiements validés reçus pendant la période</w:t>
            </w:r>
          </w:p>
        </w:tc>
      </w:tr>
      <w:tr>
        <w:tc>
          <w:tcPr>
            <w:tcW w:type="dxa" w:w="5112"/>
            <w:vAlign w:val="center"/>
          </w:tcPr>
          <w:p>
            <w:r/>
            <w:r>
              <w:rPr>
                <w:rFonts w:ascii="Aptos" w:hAnsi="Aptos"/>
                <w:b w:val="0"/>
                <w:sz w:val="17"/>
              </w:rPr>
              <w:t>Créances</w:t>
            </w:r>
          </w:p>
        </w:tc>
        <w:tc>
          <w:tcPr>
            <w:tcW w:type="dxa" w:w="5112"/>
            <w:vAlign w:val="center"/>
          </w:tcPr>
          <w:p>
            <w:r/>
            <w:r>
              <w:rPr>
                <w:rFonts w:ascii="Aptos" w:hAnsi="Aptos"/>
                <w:b w:val="0"/>
                <w:sz w:val="17"/>
              </w:rPr>
              <w:t>Montants restant dus selon échéances et statuts définis</w:t>
            </w:r>
          </w:p>
        </w:tc>
      </w:tr>
      <w:tr>
        <w:tc>
          <w:tcPr>
            <w:tcW w:type="dxa" w:w="5112"/>
            <w:vAlign w:val="center"/>
          </w:tcPr>
          <w:p>
            <w:r/>
            <w:r>
              <w:rPr>
                <w:rFonts w:ascii="Aptos" w:hAnsi="Aptos"/>
                <w:b w:val="0"/>
                <w:sz w:val="17"/>
              </w:rPr>
              <w:t>Dépenses</w:t>
            </w:r>
          </w:p>
        </w:tc>
        <w:tc>
          <w:tcPr>
            <w:tcW w:type="dxa" w:w="5112"/>
            <w:vAlign w:val="center"/>
          </w:tcPr>
          <w:p>
            <w:r/>
            <w:r>
              <w:rPr>
                <w:rFonts w:ascii="Aptos" w:hAnsi="Aptos"/>
                <w:b w:val="0"/>
                <w:sz w:val="17"/>
              </w:rPr>
              <w:t>Dépenses validées selon date/règle retenue</w:t>
            </w:r>
          </w:p>
        </w:tc>
      </w:tr>
      <w:tr>
        <w:tc>
          <w:tcPr>
            <w:tcW w:type="dxa" w:w="5112"/>
            <w:vAlign w:val="center"/>
          </w:tcPr>
          <w:p>
            <w:r/>
            <w:r>
              <w:rPr>
                <w:rFonts w:ascii="Aptos" w:hAnsi="Aptos"/>
                <w:b w:val="0"/>
                <w:sz w:val="17"/>
              </w:rPr>
              <w:t>Trésorerie</w:t>
            </w:r>
          </w:p>
        </w:tc>
        <w:tc>
          <w:tcPr>
            <w:tcW w:type="dxa" w:w="5112"/>
            <w:vAlign w:val="center"/>
          </w:tcPr>
          <w:p>
            <w:r/>
            <w:r>
              <w:rPr>
                <w:rFonts w:ascii="Aptos" w:hAnsi="Aptos"/>
                <w:b w:val="0"/>
                <w:sz w:val="17"/>
              </w:rPr>
              <w:t>Soldes des comptes de trésorerie après mouvements validés</w:t>
            </w:r>
          </w:p>
        </w:tc>
      </w:tr>
      <w:tr>
        <w:tc>
          <w:tcPr>
            <w:tcW w:type="dxa" w:w="5112"/>
            <w:vAlign w:val="center"/>
          </w:tcPr>
          <w:p>
            <w:r/>
            <w:r>
              <w:rPr>
                <w:rFonts w:ascii="Aptos" w:hAnsi="Aptos"/>
                <w:b w:val="0"/>
                <w:sz w:val="17"/>
              </w:rPr>
              <w:t>Commission</w:t>
            </w:r>
          </w:p>
        </w:tc>
        <w:tc>
          <w:tcPr>
            <w:tcW w:type="dxa" w:w="5112"/>
            <w:vAlign w:val="center"/>
          </w:tcPr>
          <w:p>
            <w:r/>
            <w:r>
              <w:rPr>
                <w:rFonts w:ascii="Aptos" w:hAnsi="Aptos"/>
                <w:b w:val="0"/>
                <w:sz w:val="17"/>
              </w:rPr>
              <w:t>Résultat de la règle versionnée applicable</w:t>
            </w:r>
          </w:p>
        </w:tc>
      </w:tr>
    </w:tbl>
    <w:p/>
    <w:p>
      <w:pPr>
        <w:pStyle w:val="Heading1"/>
      </w:pPr>
      <w:r>
        <w:t>23. MVP et roadmap recommandée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Phase</w:t>
            </w:r>
          </w:p>
        </w:tc>
        <w:tc>
          <w:tcPr>
            <w:tcW w:type="dxa" w:w="5112"/>
            <w:vAlign w:val="center"/>
            <w:shd w:fill="1F4E79"/>
          </w:tcPr>
          <w:p>
            <w:r/>
            <w:r>
              <w:rPr>
                <w:rFonts w:ascii="Aptos" w:hAnsi="Aptos"/>
                <w:b/>
                <w:color w:val="FFFFFF"/>
                <w:sz w:val="17"/>
              </w:rPr>
              <w:t>Périmètre</w:t>
            </w:r>
          </w:p>
        </w:tc>
      </w:tr>
      <w:tr>
        <w:tc>
          <w:tcPr>
            <w:tcW w:type="dxa" w:w="5112"/>
            <w:vAlign w:val="center"/>
          </w:tcPr>
          <w:p>
            <w:r/>
            <w:r>
              <w:rPr>
                <w:rFonts w:ascii="Aptos" w:hAnsi="Aptos"/>
                <w:b w:val="0"/>
                <w:sz w:val="17"/>
              </w:rPr>
              <w:t>Phase 1 — Noyau</w:t>
            </w:r>
          </w:p>
        </w:tc>
        <w:tc>
          <w:tcPr>
            <w:tcW w:type="dxa" w:w="5112"/>
            <w:vAlign w:val="center"/>
          </w:tcPr>
          <w:p>
            <w:r/>
            <w:r>
              <w:rPr>
                <w:rFonts w:ascii="Aptos" w:hAnsi="Aptos"/>
                <w:b w:val="0"/>
                <w:sz w:val="17"/>
              </w:rPr>
              <w:t>Organisation, utilisateurs, permissions, CRM, catalogue, ventes, paiements, dépenses, trésorerie, commissions, dashboard, rapports, audit</w:t>
            </w:r>
          </w:p>
        </w:tc>
      </w:tr>
      <w:tr>
        <w:tc>
          <w:tcPr>
            <w:tcW w:type="dxa" w:w="5112"/>
            <w:vAlign w:val="center"/>
          </w:tcPr>
          <w:p>
            <w:r/>
            <w:r>
              <w:rPr>
                <w:rFonts w:ascii="Aptos" w:hAnsi="Aptos"/>
                <w:b w:val="0"/>
                <w:sz w:val="17"/>
              </w:rPr>
              <w:t>Phase 2 — Métiers prioritaires</w:t>
            </w:r>
          </w:p>
        </w:tc>
        <w:tc>
          <w:tcPr>
            <w:tcW w:type="dxa" w:w="5112"/>
            <w:vAlign w:val="center"/>
          </w:tcPr>
          <w:p>
            <w:r/>
            <w:r>
              <w:rPr>
                <w:rFonts w:ascii="Aptos" w:hAnsi="Aptos"/>
                <w:b w:val="0"/>
                <w:sz w:val="17"/>
              </w:rPr>
              <w:t>Academy complet + Agency complet</w:t>
            </w:r>
          </w:p>
        </w:tc>
      </w:tr>
      <w:tr>
        <w:tc>
          <w:tcPr>
            <w:tcW w:type="dxa" w:w="5112"/>
            <w:vAlign w:val="center"/>
          </w:tcPr>
          <w:p>
            <w:r/>
            <w:r>
              <w:rPr>
                <w:rFonts w:ascii="Aptos" w:hAnsi="Aptos"/>
                <w:b w:val="0"/>
                <w:sz w:val="17"/>
              </w:rPr>
              <w:t>Phase 3 — Autres branches</w:t>
            </w:r>
          </w:p>
        </w:tc>
        <w:tc>
          <w:tcPr>
            <w:tcW w:type="dxa" w:w="5112"/>
            <w:vAlign w:val="center"/>
          </w:tcPr>
          <w:p>
            <w:r/>
            <w:r>
              <w:rPr>
                <w:rFonts w:ascii="Aptos" w:hAnsi="Aptos"/>
                <w:b w:val="0"/>
                <w:sz w:val="17"/>
              </w:rPr>
              <w:t>Store + Studio</w:t>
            </w:r>
          </w:p>
        </w:tc>
      </w:tr>
      <w:tr>
        <w:tc>
          <w:tcPr>
            <w:tcW w:type="dxa" w:w="5112"/>
            <w:vAlign w:val="center"/>
          </w:tcPr>
          <w:p>
            <w:r/>
            <w:r>
              <w:rPr>
                <w:rFonts w:ascii="Aptos" w:hAnsi="Aptos"/>
                <w:b w:val="0"/>
                <w:sz w:val="17"/>
              </w:rPr>
              <w:t>Phase 4 — Avancé</w:t>
            </w:r>
          </w:p>
        </w:tc>
        <w:tc>
          <w:tcPr>
            <w:tcW w:type="dxa" w:w="5112"/>
            <w:vAlign w:val="center"/>
          </w:tcPr>
          <w:p>
            <w:r/>
            <w:r>
              <w:rPr>
                <w:rFonts w:ascii="Aptos" w:hAnsi="Aptos"/>
                <w:b w:val="0"/>
                <w:sz w:val="17"/>
              </w:rPr>
              <w:t>Automatisations avancées, objectifs, budgets, BI, prévisions, intégrations</w:t>
            </w:r>
          </w:p>
        </w:tc>
      </w:tr>
    </w:tbl>
    <w:p/>
    <w:p>
      <w:pPr>
        <w:pStyle w:val="Heading1"/>
      </w:pPr>
      <w:r>
        <w:t>24. Spécification type d’un écran</w:t>
      </w:r>
    </w:p>
    <w:p>
      <w:r>
        <w:t>Chaque écran doit être documenté avec la fiche suivante avant validation UX/UI :</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Élément</w:t>
            </w:r>
          </w:p>
        </w:tc>
        <w:tc>
          <w:tcPr>
            <w:tcW w:type="dxa" w:w="5112"/>
            <w:vAlign w:val="center"/>
            <w:shd w:fill="1F4E79"/>
          </w:tcPr>
          <w:p>
            <w:r/>
            <w:r>
              <w:rPr>
                <w:rFonts w:ascii="Aptos" w:hAnsi="Aptos"/>
                <w:b/>
                <w:color w:val="FFFFFF"/>
                <w:sz w:val="17"/>
              </w:rPr>
              <w:t>À documenter</w:t>
            </w:r>
          </w:p>
        </w:tc>
      </w:tr>
      <w:tr>
        <w:tc>
          <w:tcPr>
            <w:tcW w:type="dxa" w:w="5112"/>
            <w:vAlign w:val="center"/>
          </w:tcPr>
          <w:p>
            <w:r/>
            <w:r>
              <w:rPr>
                <w:rFonts w:ascii="Aptos" w:hAnsi="Aptos"/>
                <w:b w:val="0"/>
                <w:sz w:val="17"/>
              </w:rPr>
              <w:t>Nom de l’écran</w:t>
            </w:r>
          </w:p>
        </w:tc>
        <w:tc>
          <w:tcPr>
            <w:tcW w:type="dxa" w:w="5112"/>
            <w:vAlign w:val="center"/>
          </w:tcPr>
          <w:p>
            <w:r/>
            <w:r>
              <w:rPr>
                <w:rFonts w:ascii="Aptos" w:hAnsi="Aptos"/>
                <w:b w:val="0"/>
                <w:sz w:val="17"/>
              </w:rPr>
              <w:t>Ex. Fiche apprenant</w:t>
            </w:r>
          </w:p>
        </w:tc>
      </w:tr>
      <w:tr>
        <w:tc>
          <w:tcPr>
            <w:tcW w:type="dxa" w:w="5112"/>
            <w:vAlign w:val="center"/>
          </w:tcPr>
          <w:p>
            <w:r/>
            <w:r>
              <w:rPr>
                <w:rFonts w:ascii="Aptos" w:hAnsi="Aptos"/>
                <w:b w:val="0"/>
                <w:sz w:val="17"/>
              </w:rPr>
              <w:t>Objectif</w:t>
            </w:r>
          </w:p>
        </w:tc>
        <w:tc>
          <w:tcPr>
            <w:tcW w:type="dxa" w:w="5112"/>
            <w:vAlign w:val="center"/>
          </w:tcPr>
          <w:p>
            <w:r/>
            <w:r>
              <w:rPr>
                <w:rFonts w:ascii="Aptos" w:hAnsi="Aptos"/>
                <w:b w:val="0"/>
                <w:sz w:val="17"/>
              </w:rPr>
              <w:t>Pourquoi l’écran existe</w:t>
            </w:r>
          </w:p>
        </w:tc>
      </w:tr>
      <w:tr>
        <w:tc>
          <w:tcPr>
            <w:tcW w:type="dxa" w:w="5112"/>
            <w:vAlign w:val="center"/>
          </w:tcPr>
          <w:p>
            <w:r/>
            <w:r>
              <w:rPr>
                <w:rFonts w:ascii="Aptos" w:hAnsi="Aptos"/>
                <w:b w:val="0"/>
                <w:sz w:val="17"/>
              </w:rPr>
              <w:t>Accès</w:t>
            </w:r>
          </w:p>
        </w:tc>
        <w:tc>
          <w:tcPr>
            <w:tcW w:type="dxa" w:w="5112"/>
            <w:vAlign w:val="center"/>
          </w:tcPr>
          <w:p>
            <w:r/>
            <w:r>
              <w:rPr>
                <w:rFonts w:ascii="Aptos" w:hAnsi="Aptos"/>
                <w:b w:val="0"/>
                <w:sz w:val="17"/>
              </w:rPr>
              <w:t>Rôles et périmètres</w:t>
            </w:r>
          </w:p>
        </w:tc>
      </w:tr>
      <w:tr>
        <w:tc>
          <w:tcPr>
            <w:tcW w:type="dxa" w:w="5112"/>
            <w:vAlign w:val="center"/>
          </w:tcPr>
          <w:p>
            <w:r/>
            <w:r>
              <w:rPr>
                <w:rFonts w:ascii="Aptos" w:hAnsi="Aptos"/>
                <w:b w:val="0"/>
                <w:sz w:val="17"/>
              </w:rPr>
              <w:t>Données affichées</w:t>
            </w:r>
          </w:p>
        </w:tc>
        <w:tc>
          <w:tcPr>
            <w:tcW w:type="dxa" w:w="5112"/>
            <w:vAlign w:val="center"/>
          </w:tcPr>
          <w:p>
            <w:r/>
            <w:r>
              <w:rPr>
                <w:rFonts w:ascii="Aptos" w:hAnsi="Aptos"/>
                <w:b w:val="0"/>
                <w:sz w:val="17"/>
              </w:rPr>
              <w:t>Champs, KPI, historique</w:t>
            </w:r>
          </w:p>
        </w:tc>
      </w:tr>
      <w:tr>
        <w:tc>
          <w:tcPr>
            <w:tcW w:type="dxa" w:w="5112"/>
            <w:vAlign w:val="center"/>
          </w:tcPr>
          <w:p>
            <w:r/>
            <w:r>
              <w:rPr>
                <w:rFonts w:ascii="Aptos" w:hAnsi="Aptos"/>
                <w:b w:val="0"/>
                <w:sz w:val="17"/>
              </w:rPr>
              <w:t>Actions</w:t>
            </w:r>
          </w:p>
        </w:tc>
        <w:tc>
          <w:tcPr>
            <w:tcW w:type="dxa" w:w="5112"/>
            <w:vAlign w:val="center"/>
          </w:tcPr>
          <w:p>
            <w:r/>
            <w:r>
              <w:rPr>
                <w:rFonts w:ascii="Aptos" w:hAnsi="Aptos"/>
                <w:b w:val="0"/>
                <w:sz w:val="17"/>
              </w:rPr>
              <w:t>Créer, modifier, valider, annuler, exporter, etc.</w:t>
            </w:r>
          </w:p>
        </w:tc>
      </w:tr>
      <w:tr>
        <w:tc>
          <w:tcPr>
            <w:tcW w:type="dxa" w:w="5112"/>
            <w:vAlign w:val="center"/>
          </w:tcPr>
          <w:p>
            <w:r/>
            <w:r>
              <w:rPr>
                <w:rFonts w:ascii="Aptos" w:hAnsi="Aptos"/>
                <w:b w:val="0"/>
                <w:sz w:val="17"/>
              </w:rPr>
              <w:t>Filtres</w:t>
            </w:r>
          </w:p>
        </w:tc>
        <w:tc>
          <w:tcPr>
            <w:tcW w:type="dxa" w:w="5112"/>
            <w:vAlign w:val="center"/>
          </w:tcPr>
          <w:p>
            <w:r/>
            <w:r>
              <w:rPr>
                <w:rFonts w:ascii="Aptos" w:hAnsi="Aptos"/>
                <w:b w:val="0"/>
                <w:sz w:val="17"/>
              </w:rPr>
              <w:t>Filtres et recherche</w:t>
            </w:r>
          </w:p>
        </w:tc>
      </w:tr>
      <w:tr>
        <w:tc>
          <w:tcPr>
            <w:tcW w:type="dxa" w:w="5112"/>
            <w:vAlign w:val="center"/>
          </w:tcPr>
          <w:p>
            <w:r/>
            <w:r>
              <w:rPr>
                <w:rFonts w:ascii="Aptos" w:hAnsi="Aptos"/>
                <w:b w:val="0"/>
                <w:sz w:val="17"/>
              </w:rPr>
              <w:t>Règles métier</w:t>
            </w:r>
          </w:p>
        </w:tc>
        <w:tc>
          <w:tcPr>
            <w:tcW w:type="dxa" w:w="5112"/>
            <w:vAlign w:val="center"/>
          </w:tcPr>
          <w:p>
            <w:r/>
            <w:r>
              <w:rPr>
                <w:rFonts w:ascii="Aptos" w:hAnsi="Aptos"/>
                <w:b w:val="0"/>
                <w:sz w:val="17"/>
              </w:rPr>
              <w:t>Calculs et contraintes</w:t>
            </w:r>
          </w:p>
        </w:tc>
      </w:tr>
      <w:tr>
        <w:tc>
          <w:tcPr>
            <w:tcW w:type="dxa" w:w="5112"/>
            <w:vAlign w:val="center"/>
          </w:tcPr>
          <w:p>
            <w:r/>
            <w:r>
              <w:rPr>
                <w:rFonts w:ascii="Aptos" w:hAnsi="Aptos"/>
                <w:b w:val="0"/>
                <w:sz w:val="17"/>
              </w:rPr>
              <w:t>Automatisations</w:t>
            </w:r>
          </w:p>
        </w:tc>
        <w:tc>
          <w:tcPr>
            <w:tcW w:type="dxa" w:w="5112"/>
            <w:vAlign w:val="center"/>
          </w:tcPr>
          <w:p>
            <w:r/>
            <w:r>
              <w:rPr>
                <w:rFonts w:ascii="Aptos" w:hAnsi="Aptos"/>
                <w:b w:val="0"/>
                <w:sz w:val="17"/>
              </w:rPr>
              <w:t>Événements déclenchés</w:t>
            </w:r>
          </w:p>
        </w:tc>
      </w:tr>
      <w:tr>
        <w:tc>
          <w:tcPr>
            <w:tcW w:type="dxa" w:w="5112"/>
            <w:vAlign w:val="center"/>
          </w:tcPr>
          <w:p>
            <w:r/>
            <w:r>
              <w:rPr>
                <w:rFonts w:ascii="Aptos" w:hAnsi="Aptos"/>
                <w:b w:val="0"/>
                <w:sz w:val="17"/>
              </w:rPr>
              <w:t>Navigation</w:t>
            </w:r>
          </w:p>
        </w:tc>
        <w:tc>
          <w:tcPr>
            <w:tcW w:type="dxa" w:w="5112"/>
            <w:vAlign w:val="center"/>
          </w:tcPr>
          <w:p>
            <w:r/>
            <w:r>
              <w:rPr>
                <w:rFonts w:ascii="Aptos" w:hAnsi="Aptos"/>
                <w:b w:val="0"/>
                <w:sz w:val="17"/>
              </w:rPr>
              <w:t>Écrans entrants/sortants</w:t>
            </w:r>
          </w:p>
        </w:tc>
      </w:tr>
      <w:tr>
        <w:tc>
          <w:tcPr>
            <w:tcW w:type="dxa" w:w="5112"/>
            <w:vAlign w:val="center"/>
          </w:tcPr>
          <w:p>
            <w:r/>
            <w:r>
              <w:rPr>
                <w:rFonts w:ascii="Aptos" w:hAnsi="Aptos"/>
                <w:b w:val="0"/>
                <w:sz w:val="17"/>
              </w:rPr>
              <w:t>Audit</w:t>
            </w:r>
          </w:p>
        </w:tc>
        <w:tc>
          <w:tcPr>
            <w:tcW w:type="dxa" w:w="5112"/>
            <w:vAlign w:val="center"/>
          </w:tcPr>
          <w:p>
            <w:r/>
            <w:r>
              <w:rPr>
                <w:rFonts w:ascii="Aptos" w:hAnsi="Aptos"/>
                <w:b w:val="0"/>
                <w:sz w:val="17"/>
              </w:rPr>
              <w:t>Actions devant être historisées</w:t>
            </w:r>
          </w:p>
        </w:tc>
      </w:tr>
      <w:tr>
        <w:tc>
          <w:tcPr>
            <w:tcW w:type="dxa" w:w="5112"/>
            <w:vAlign w:val="center"/>
          </w:tcPr>
          <w:p>
            <w:r/>
            <w:r>
              <w:rPr>
                <w:rFonts w:ascii="Aptos" w:hAnsi="Aptos"/>
                <w:b w:val="0"/>
                <w:sz w:val="17"/>
              </w:rPr>
              <w:t>Critères d’acceptation</w:t>
            </w:r>
          </w:p>
        </w:tc>
        <w:tc>
          <w:tcPr>
            <w:tcW w:type="dxa" w:w="5112"/>
            <w:vAlign w:val="center"/>
          </w:tcPr>
          <w:p>
            <w:r/>
            <w:r>
              <w:rPr>
                <w:rFonts w:ascii="Aptos" w:hAnsi="Aptos"/>
                <w:b w:val="0"/>
                <w:sz w:val="17"/>
              </w:rPr>
              <w:t>Conditions vérifiables pour considérer l’écran terminé</w:t>
            </w:r>
          </w:p>
        </w:tc>
      </w:tr>
    </w:tbl>
    <w:p/>
    <w:p>
      <w:pPr>
        <w:pStyle w:val="Heading1"/>
      </w:pPr>
      <w:r>
        <w:t>25. Exemple détaillé — Fiche apprenant Academy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Élément</w:t>
            </w:r>
          </w:p>
        </w:tc>
        <w:tc>
          <w:tcPr>
            <w:tcW w:type="dxa" w:w="5112"/>
            <w:vAlign w:val="center"/>
            <w:shd w:fill="1F4E79"/>
          </w:tcPr>
          <w:p>
            <w:r/>
            <w:r>
              <w:rPr>
                <w:rFonts w:ascii="Aptos" w:hAnsi="Aptos"/>
                <w:b/>
                <w:color w:val="FFFFFF"/>
                <w:sz w:val="17"/>
              </w:rPr>
              <w:t>Spécification</w:t>
            </w:r>
          </w:p>
        </w:tc>
      </w:tr>
      <w:tr>
        <w:tc>
          <w:tcPr>
            <w:tcW w:type="dxa" w:w="5112"/>
            <w:vAlign w:val="center"/>
          </w:tcPr>
          <w:p>
            <w:r/>
            <w:r>
              <w:rPr>
                <w:rFonts w:ascii="Aptos" w:hAnsi="Aptos"/>
                <w:b w:val="0"/>
                <w:sz w:val="17"/>
              </w:rPr>
              <w:t>Objectif</w:t>
            </w:r>
          </w:p>
        </w:tc>
        <w:tc>
          <w:tcPr>
            <w:tcW w:type="dxa" w:w="5112"/>
            <w:vAlign w:val="center"/>
          </w:tcPr>
          <w:p>
            <w:r/>
            <w:r>
              <w:rPr>
                <w:rFonts w:ascii="Aptos" w:hAnsi="Aptos"/>
                <w:b w:val="0"/>
                <w:sz w:val="17"/>
              </w:rPr>
              <w:t>Centraliser l’identité, l’inscription, la formation et la situation financière de l’apprenant.</w:t>
            </w:r>
          </w:p>
        </w:tc>
      </w:tr>
      <w:tr>
        <w:tc>
          <w:tcPr>
            <w:tcW w:type="dxa" w:w="5112"/>
            <w:vAlign w:val="center"/>
          </w:tcPr>
          <w:p>
            <w:r/>
            <w:r>
              <w:rPr>
                <w:rFonts w:ascii="Aptos" w:hAnsi="Aptos"/>
                <w:b w:val="0"/>
                <w:sz w:val="17"/>
              </w:rPr>
              <w:t>Accès</w:t>
            </w:r>
          </w:p>
        </w:tc>
        <w:tc>
          <w:tcPr>
            <w:tcW w:type="dxa" w:w="5112"/>
            <w:vAlign w:val="center"/>
          </w:tcPr>
          <w:p>
            <w:r/>
            <w:r>
              <w:rPr>
                <w:rFonts w:ascii="Aptos" w:hAnsi="Aptos"/>
                <w:b w:val="0"/>
                <w:sz w:val="17"/>
              </w:rPr>
              <w:t>Super Admin, responsables autorisés, Academy, Finance selon permissions.</w:t>
            </w:r>
          </w:p>
        </w:tc>
      </w:tr>
      <w:tr>
        <w:tc>
          <w:tcPr>
            <w:tcW w:type="dxa" w:w="5112"/>
            <w:vAlign w:val="center"/>
          </w:tcPr>
          <w:p>
            <w:r/>
            <w:r>
              <w:rPr>
                <w:rFonts w:ascii="Aptos" w:hAnsi="Aptos"/>
                <w:b w:val="0"/>
                <w:sz w:val="17"/>
              </w:rPr>
              <w:t>Données</w:t>
            </w:r>
          </w:p>
        </w:tc>
        <w:tc>
          <w:tcPr>
            <w:tcW w:type="dxa" w:w="5112"/>
            <w:vAlign w:val="center"/>
          </w:tcPr>
          <w:p>
            <w:r/>
            <w:r>
              <w:rPr>
                <w:rFonts w:ascii="Aptos" w:hAnsi="Aptos"/>
                <w:b w:val="0"/>
                <w:sz w:val="17"/>
              </w:rPr>
              <w:t>Identité, contact, formation, session, commercial, prix, paiements, solde, présence, certificat.</w:t>
            </w:r>
          </w:p>
        </w:tc>
      </w:tr>
      <w:tr>
        <w:tc>
          <w:tcPr>
            <w:tcW w:type="dxa" w:w="5112"/>
            <w:vAlign w:val="center"/>
          </w:tcPr>
          <w:p>
            <w:r/>
            <w:r>
              <w:rPr>
                <w:rFonts w:ascii="Aptos" w:hAnsi="Aptos"/>
                <w:b w:val="0"/>
                <w:sz w:val="17"/>
              </w:rPr>
              <w:t>Actions</w:t>
            </w:r>
          </w:p>
        </w:tc>
        <w:tc>
          <w:tcPr>
            <w:tcW w:type="dxa" w:w="5112"/>
            <w:vAlign w:val="center"/>
          </w:tcPr>
          <w:p>
            <w:r/>
            <w:r>
              <w:rPr>
                <w:rFonts w:ascii="Aptos" w:hAnsi="Aptos"/>
                <w:b w:val="0"/>
                <w:sz w:val="17"/>
              </w:rPr>
              <w:t>Modifier, enregistrer paiement, affecter/changer session, consulter documents, gérer certificat.</w:t>
            </w:r>
          </w:p>
        </w:tc>
      </w:tr>
      <w:tr>
        <w:tc>
          <w:tcPr>
            <w:tcW w:type="dxa" w:w="5112"/>
            <w:vAlign w:val="center"/>
          </w:tcPr>
          <w:p>
            <w:r/>
            <w:r>
              <w:rPr>
                <w:rFonts w:ascii="Aptos" w:hAnsi="Aptos"/>
                <w:b w:val="0"/>
                <w:sz w:val="17"/>
              </w:rPr>
              <w:t>Paiement</w:t>
            </w:r>
          </w:p>
        </w:tc>
        <w:tc>
          <w:tcPr>
            <w:tcW w:type="dxa" w:w="5112"/>
            <w:vAlign w:val="center"/>
          </w:tcPr>
          <w:p>
            <w:r/>
            <w:r>
              <w:rPr>
                <w:rFonts w:ascii="Aptos" w:hAnsi="Aptos"/>
                <w:b w:val="0"/>
                <w:sz w:val="17"/>
              </w:rPr>
              <w:t>Créer une ligne de paiement reliée à l’inscription/vente et au compte de trésorerie.</w:t>
            </w:r>
          </w:p>
        </w:tc>
      </w:tr>
      <w:tr>
        <w:tc>
          <w:tcPr>
            <w:tcW w:type="dxa" w:w="5112"/>
            <w:vAlign w:val="center"/>
          </w:tcPr>
          <w:p>
            <w:r/>
            <w:r>
              <w:rPr>
                <w:rFonts w:ascii="Aptos" w:hAnsi="Aptos"/>
                <w:b w:val="0"/>
                <w:sz w:val="17"/>
              </w:rPr>
              <w:t>Automatisation</w:t>
            </w:r>
          </w:p>
        </w:tc>
        <w:tc>
          <w:tcPr>
            <w:tcW w:type="dxa" w:w="5112"/>
            <w:vAlign w:val="center"/>
          </w:tcPr>
          <w:p>
            <w:r/>
            <w:r>
              <w:rPr>
                <w:rFonts w:ascii="Aptos" w:hAnsi="Aptos"/>
                <w:b w:val="0"/>
                <w:sz w:val="17"/>
              </w:rPr>
              <w:t>Recalculer solde, encaissements, commission si applicable, trésorerie, reporting et audit.</w:t>
            </w:r>
          </w:p>
        </w:tc>
      </w:tr>
      <w:tr>
        <w:tc>
          <w:tcPr>
            <w:tcW w:type="dxa" w:w="5112"/>
            <w:vAlign w:val="center"/>
          </w:tcPr>
          <w:p>
            <w:r/>
            <w:r>
              <w:rPr>
                <w:rFonts w:ascii="Aptos" w:hAnsi="Aptos"/>
                <w:b w:val="0"/>
                <w:sz w:val="17"/>
              </w:rPr>
              <w:t>Contrôle</w:t>
            </w:r>
          </w:p>
        </w:tc>
        <w:tc>
          <w:tcPr>
            <w:tcW w:type="dxa" w:w="5112"/>
            <w:vAlign w:val="center"/>
          </w:tcPr>
          <w:p>
            <w:r/>
            <w:r>
              <w:rPr>
                <w:rFonts w:ascii="Aptos" w:hAnsi="Aptos"/>
                <w:b w:val="0"/>
                <w:sz w:val="17"/>
              </w:rPr>
              <w:t>Interdire les incohérences de montants et tracer les corrections sensibles.</w:t>
            </w:r>
          </w:p>
        </w:tc>
      </w:tr>
    </w:tbl>
    <w:p/>
    <w:p>
      <w:pPr>
        <w:pStyle w:val="Heading1"/>
      </w:pPr>
      <w:r>
        <w:t>26. Audit et sécurité fonctionnelle</w:t>
      </w:r>
    </w:p>
    <w:p>
      <w:pPr>
        <w:pStyle w:val="ListBullet"/>
        <w:spacing w:after="40"/>
      </w:pPr>
      <w:r>
        <w:t>Authentification et gestion de sessions selon standards techniques retenus par l’équipe.</w:t>
      </w:r>
    </w:p>
    <w:p>
      <w:pPr>
        <w:pStyle w:val="ListBullet"/>
        <w:spacing w:after="40"/>
      </w:pPr>
      <w:r>
        <w:t>Journal d’audit pour paiements, dépenses, commissions, changements de permissions et autres actions sensibles.</w:t>
      </w:r>
    </w:p>
    <w:p>
      <w:pPr>
        <w:pStyle w:val="ListBullet"/>
        <w:spacing w:after="40"/>
      </w:pPr>
      <w:r>
        <w:t>Principe du moindre privilège pour les accès.</w:t>
      </w:r>
    </w:p>
    <w:p>
      <w:pPr>
        <w:pStyle w:val="ListBullet"/>
        <w:spacing w:after="40"/>
      </w:pPr>
      <w:r>
        <w:t>Sauvegardes, restauration et politique de conservation à définir avec l’équipe technique.</w:t>
      </w:r>
    </w:p>
    <w:p>
      <w:pPr>
        <w:pStyle w:val="ListBullet"/>
        <w:spacing w:after="40"/>
      </w:pPr>
      <w:r>
        <w:t>Séparation des environnements de développement/test/production recommandée.</w:t>
      </w:r>
    </w:p>
    <w:p>
      <w:pPr>
        <w:pStyle w:val="ListBullet"/>
        <w:spacing w:after="40"/>
      </w:pPr>
      <w:r>
        <w:t>Validation explicite avant toute migration ou modification massive de données.</w:t>
      </w:r>
    </w:p>
    <w:p>
      <w:pPr>
        <w:pStyle w:val="Heading1"/>
      </w:pPr>
      <w:r>
        <w:t>27. Critères de validation du projet</w:t>
      </w:r>
    </w:p>
    <w:p>
      <w:pPr>
        <w:pStyle w:val="ListBullet"/>
        <w:spacing w:after="40"/>
      </w:pPr>
      <w:r>
        <w:t>Une donnée métier n’est saisie qu’une fois lorsqu’elle peut alimenter automatiquement les autres modules.</w:t>
      </w:r>
    </w:p>
    <w:p>
      <w:pPr>
        <w:pStyle w:val="ListBullet"/>
        <w:spacing w:after="40"/>
      </w:pPr>
      <w:r>
        <w:t>Les soldes calculés correspondent aux transactions sources.</w:t>
      </w:r>
    </w:p>
    <w:p>
      <w:pPr>
        <w:pStyle w:val="ListBullet"/>
        <w:spacing w:after="40"/>
      </w:pPr>
      <w:r>
        <w:t>Chaque KPI important peut être expliqué par ses données sources.</w:t>
      </w:r>
    </w:p>
    <w:p>
      <w:pPr>
        <w:pStyle w:val="ListBullet"/>
        <w:spacing w:after="40"/>
      </w:pPr>
      <w:r>
        <w:t>Les permissions empêchent l’accès hors périmètre.</w:t>
      </w:r>
    </w:p>
    <w:p>
      <w:pPr>
        <w:pStyle w:val="ListBullet"/>
        <w:spacing w:after="40"/>
      </w:pPr>
      <w:r>
        <w:t>Les commissions sont reproductibles et rattachées à une règle/version.</w:t>
      </w:r>
    </w:p>
    <w:p>
      <w:pPr>
        <w:pStyle w:val="ListBullet"/>
        <w:spacing w:after="40"/>
      </w:pPr>
      <w:r>
        <w:t>Le bilan journalier est généré sans ressaisie manuelle.</w:t>
      </w:r>
    </w:p>
    <w:p>
      <w:pPr>
        <w:pStyle w:val="ListBullet"/>
        <w:spacing w:after="40"/>
      </w:pPr>
      <w:r>
        <w:t>Les renouvellements et créances génèrent les alertes prévues.</w:t>
      </w:r>
    </w:p>
    <w:p>
      <w:pPr>
        <w:pStyle w:val="ListBullet"/>
        <w:spacing w:after="40"/>
      </w:pPr>
      <w:r>
        <w:t>Les opérations sensibles sont auditables.</w:t>
      </w:r>
    </w:p>
    <w:p>
      <w:pPr>
        <w:pStyle w:val="ListBullet"/>
        <w:spacing w:after="40"/>
      </w:pPr>
      <w:r>
        <w:t>Les données historiques importées sont rapprochées avec les sources selon un protocole validé.</w:t>
      </w:r>
    </w:p>
    <w:p>
      <w:pPr>
        <w:pStyle w:val="Heading1"/>
      </w:pPr>
      <w:r>
        <w:t>28. Processus de validation avec l’agence de développement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7"/>
              </w:rPr>
              <w:t>Gate</w:t>
            </w:r>
          </w:p>
        </w:tc>
        <w:tc>
          <w:tcPr>
            <w:tcW w:type="dxa" w:w="5112"/>
            <w:vAlign w:val="center"/>
            <w:shd w:fill="1F4E79"/>
          </w:tcPr>
          <w:p>
            <w:r/>
            <w:r>
              <w:rPr>
                <w:rFonts w:ascii="Aptos" w:hAnsi="Aptos"/>
                <w:b/>
                <w:color w:val="FFFFFF"/>
                <w:sz w:val="17"/>
              </w:rPr>
              <w:t>Validation attendue avant de poursuivre</w:t>
            </w:r>
          </w:p>
        </w:tc>
      </w:tr>
      <w:tr>
        <w:tc>
          <w:tcPr>
            <w:tcW w:type="dxa" w:w="5112"/>
            <w:vAlign w:val="center"/>
          </w:tcPr>
          <w:p>
            <w:r/>
            <w:r>
              <w:rPr>
                <w:rFonts w:ascii="Aptos" w:hAnsi="Aptos"/>
                <w:b w:val="0"/>
                <w:sz w:val="17"/>
              </w:rPr>
              <w:t>Gate 1 — Architecture</w:t>
            </w:r>
          </w:p>
        </w:tc>
        <w:tc>
          <w:tcPr>
            <w:tcW w:type="dxa" w:w="5112"/>
            <w:vAlign w:val="center"/>
          </w:tcPr>
          <w:p>
            <w:r/>
            <w:r>
              <w:rPr>
                <w:rFonts w:ascii="Aptos" w:hAnsi="Aptos"/>
                <w:b w:val="0"/>
                <w:sz w:val="17"/>
              </w:rPr>
              <w:t>Sitemap, modèle de données, workflows, permissions, dictionnaire KPI</w:t>
            </w:r>
          </w:p>
        </w:tc>
      </w:tr>
      <w:tr>
        <w:tc>
          <w:tcPr>
            <w:tcW w:type="dxa" w:w="5112"/>
            <w:vAlign w:val="center"/>
          </w:tcPr>
          <w:p>
            <w:r/>
            <w:r>
              <w:rPr>
                <w:rFonts w:ascii="Aptos" w:hAnsi="Aptos"/>
                <w:b w:val="0"/>
                <w:sz w:val="17"/>
              </w:rPr>
              <w:t>Gate 2 — UX/UI</w:t>
            </w:r>
          </w:p>
        </w:tc>
        <w:tc>
          <w:tcPr>
            <w:tcW w:type="dxa" w:w="5112"/>
            <w:vAlign w:val="center"/>
          </w:tcPr>
          <w:p>
            <w:r/>
            <w:r>
              <w:rPr>
                <w:rFonts w:ascii="Aptos" w:hAnsi="Aptos"/>
                <w:b w:val="0"/>
                <w:sz w:val="17"/>
              </w:rPr>
              <w:t>Wireframes et prototypes des parcours critiques</w:t>
            </w:r>
          </w:p>
        </w:tc>
      </w:tr>
      <w:tr>
        <w:tc>
          <w:tcPr>
            <w:tcW w:type="dxa" w:w="5112"/>
            <w:vAlign w:val="center"/>
          </w:tcPr>
          <w:p>
            <w:r/>
            <w:r>
              <w:rPr>
                <w:rFonts w:ascii="Aptos" w:hAnsi="Aptos"/>
                <w:b w:val="0"/>
                <w:sz w:val="17"/>
              </w:rPr>
              <w:t>Gate 3 — MVP</w:t>
            </w:r>
          </w:p>
        </w:tc>
        <w:tc>
          <w:tcPr>
            <w:tcW w:type="dxa" w:w="5112"/>
            <w:vAlign w:val="center"/>
          </w:tcPr>
          <w:p>
            <w:r/>
            <w:r>
              <w:rPr>
                <w:rFonts w:ascii="Aptos" w:hAnsi="Aptos"/>
                <w:b w:val="0"/>
                <w:sz w:val="17"/>
              </w:rPr>
              <w:t>Développement du noyau et tests d’acceptation</w:t>
            </w:r>
          </w:p>
        </w:tc>
      </w:tr>
      <w:tr>
        <w:tc>
          <w:tcPr>
            <w:tcW w:type="dxa" w:w="5112"/>
            <w:vAlign w:val="center"/>
          </w:tcPr>
          <w:p>
            <w:r/>
            <w:r>
              <w:rPr>
                <w:rFonts w:ascii="Aptos" w:hAnsi="Aptos"/>
                <w:b w:val="0"/>
                <w:sz w:val="17"/>
              </w:rPr>
              <w:t>Gate 4 — Migration</w:t>
            </w:r>
          </w:p>
        </w:tc>
        <w:tc>
          <w:tcPr>
            <w:tcW w:type="dxa" w:w="5112"/>
            <w:vAlign w:val="center"/>
          </w:tcPr>
          <w:p>
            <w:r/>
            <w:r>
              <w:rPr>
                <w:rFonts w:ascii="Aptos" w:hAnsi="Aptos"/>
                <w:b w:val="0"/>
                <w:sz w:val="17"/>
              </w:rPr>
              <w:t>Import test, rapprochement et validation</w:t>
            </w:r>
          </w:p>
        </w:tc>
      </w:tr>
      <w:tr>
        <w:tc>
          <w:tcPr>
            <w:tcW w:type="dxa" w:w="5112"/>
            <w:vAlign w:val="center"/>
          </w:tcPr>
          <w:p>
            <w:r/>
            <w:r>
              <w:rPr>
                <w:rFonts w:ascii="Aptos" w:hAnsi="Aptos"/>
                <w:b w:val="0"/>
                <w:sz w:val="17"/>
              </w:rPr>
              <w:t>Gate 5 — Production</w:t>
            </w:r>
          </w:p>
        </w:tc>
        <w:tc>
          <w:tcPr>
            <w:tcW w:type="dxa" w:w="5112"/>
            <w:vAlign w:val="center"/>
          </w:tcPr>
          <w:p>
            <w:r/>
            <w:r>
              <w:rPr>
                <w:rFonts w:ascii="Aptos" w:hAnsi="Aptos"/>
                <w:b w:val="0"/>
                <w:sz w:val="17"/>
              </w:rPr>
              <w:t>Recette finale, droits, sauvegardes, formation et mise en service</w:t>
            </w:r>
          </w:p>
        </w:tc>
      </w:tr>
    </w:tbl>
    <w:p/>
    <w:p>
      <w:pPr>
        <w:pStyle w:val="Heading1"/>
      </w:pPr>
      <w:r>
        <w:t>29. Parcours critiques à prototyper</w:t>
      </w:r>
    </w:p>
    <w:p>
      <w:pPr>
        <w:pStyle w:val="ListBullet"/>
        <w:spacing w:after="40"/>
      </w:pPr>
      <w:r>
        <w:t>Prospect → vente → paiement → commission → dashboard.</w:t>
      </w:r>
    </w:p>
    <w:p>
      <w:pPr>
        <w:pStyle w:val="ListBullet"/>
        <w:spacing w:after="40"/>
      </w:pPr>
      <w:r>
        <w:t>Prospect Academy → inscription → paiement partiel → solde → session → certificat.</w:t>
      </w:r>
    </w:p>
    <w:p>
      <w:pPr>
        <w:pStyle w:val="ListBullet"/>
        <w:spacing w:after="40"/>
      </w:pPr>
      <w:r>
        <w:t>Client Agency → contrat → paiement → prestation → renouvellement.</w:t>
      </w:r>
    </w:p>
    <w:p>
      <w:pPr>
        <w:pStyle w:val="ListBullet"/>
        <w:spacing w:after="40"/>
      </w:pPr>
      <w:r>
        <w:t>Dépense → validation → décaissement → rapprochement.</w:t>
      </w:r>
    </w:p>
    <w:p>
      <w:pPr>
        <w:pStyle w:val="ListBullet"/>
        <w:spacing w:after="40"/>
      </w:pPr>
      <w:r>
        <w:t>Vente Store → sortie stock → paiement → livraison/retour.</w:t>
      </w:r>
    </w:p>
    <w:p>
      <w:pPr>
        <w:pStyle w:val="ListBullet"/>
        <w:spacing w:after="40"/>
      </w:pPr>
      <w:r>
        <w:t>Projet Studio → devis → acompte → production → livraison → solde.</w:t>
      </w:r>
    </w:p>
    <w:p>
      <w:pPr>
        <w:pStyle w:val="ListBullet"/>
        <w:spacing w:after="40"/>
      </w:pPr>
      <w:r>
        <w:t>Super Admin → KPI Groupe → drill-down jusqu’à la transaction.</w:t>
      </w:r>
    </w:p>
    <w:p>
      <w:pPr>
        <w:pStyle w:val="Heading1"/>
      </w:pPr>
      <w:r>
        <w:t>30. Décisions restant à valider par Pekegno</w:t>
      </w:r>
    </w:p>
    <w:p>
      <w:pPr>
        <w:pStyle w:val="ListBullet"/>
        <w:spacing w:after="40"/>
      </w:pPr>
      <w:r>
        <w:t>Définition comptable exacte du chiffre d’affaires par activité.</w:t>
      </w:r>
    </w:p>
    <w:p>
      <w:pPr>
        <w:pStyle w:val="ListBullet"/>
        <w:spacing w:after="40"/>
      </w:pPr>
      <w:r>
        <w:t>Moment de déclenchement des commissions et formules réelles de prime.</w:t>
      </w:r>
    </w:p>
    <w:p>
      <w:pPr>
        <w:pStyle w:val="ListBullet"/>
        <w:spacing w:after="40"/>
      </w:pPr>
      <w:r>
        <w:t>Workflow et seuils de validation des dépenses.</w:t>
      </w:r>
    </w:p>
    <w:p>
      <w:pPr>
        <w:pStyle w:val="ListBullet"/>
        <w:spacing w:after="40"/>
      </w:pPr>
      <w:r>
        <w:t>Règles de renouvellement Agency et délais d’alerte.</w:t>
      </w:r>
    </w:p>
    <w:p>
      <w:pPr>
        <w:pStyle w:val="ListBullet"/>
        <w:spacing w:after="40"/>
      </w:pPr>
      <w:r>
        <w:t>Règles de gestion des remboursements, annulations et avoirs.</w:t>
      </w:r>
    </w:p>
    <w:p>
      <w:pPr>
        <w:pStyle w:val="ListBullet"/>
        <w:spacing w:after="40"/>
      </w:pPr>
      <w:r>
        <w:t>Liste définitive des comptes Cash / Mobile Money / banques.</w:t>
      </w:r>
    </w:p>
    <w:p>
      <w:pPr>
        <w:pStyle w:val="ListBullet"/>
        <w:spacing w:after="40"/>
      </w:pPr>
      <w:r>
        <w:t>Rôles exacts et matrice de permissions.</w:t>
      </w:r>
    </w:p>
    <w:p>
      <w:pPr>
        <w:pStyle w:val="ListBullet"/>
        <w:spacing w:after="40"/>
      </w:pPr>
      <w:r>
        <w:t>Priorité précise entre Academy, Agency, Store et Studio dans le MVP.</w:t>
      </w:r>
    </w:p>
    <w:p>
      <w:pPr>
        <w:pStyle w:val="ListBullet"/>
        <w:spacing w:after="40"/>
      </w:pPr>
      <w:r>
        <w:t>Périmètre et qualité des données historiques à migrer.</w:t>
      </w:r>
    </w:p>
    <w:p>
      <w:pPr>
        <w:pStyle w:val="Heading1"/>
      </w:pPr>
      <w:r>
        <w:t>31. Instruction de conception à l’équipe de développement</w:t>
      </w:r>
    </w:p>
    <w:p>
      <w:r>
        <w:rPr>
          <w:b/>
        </w:rPr>
        <w:t>Les Google Sheets fournis représentent le fonctionnement historique et les données de Pekegno. Ils ne constituent pas le modèle d’interface de la nouvelle application. L’application doit enregistrer les opérations métier une seule fois et générer automatiquement les calculs, soldes, primes, bilans, alertes et rapports qui étaient auparavant produits manuellement.</w:t>
      </w:r>
    </w:p>
    <w:p>
      <w:pPr>
        <w:pStyle w:val="Heading1"/>
      </w:pPr>
      <w:r>
        <w:t>32. Validation / commentaires</w:t>
      </w:r>
    </w:p>
    <w:p>
      <w:r>
        <w:t>Ce document est une base de cadrage modifiable. Utiliser cette section pour consigner les arbitrages avec l’agence.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rFonts w:ascii="Aptos" w:hAnsi="Aptos"/>
                <w:b/>
                <w:color w:val="FFFFFF"/>
                <w:sz w:val="17"/>
              </w:rPr>
              <w:t>Date</w:t>
            </w:r>
          </w:p>
        </w:tc>
        <w:tc>
          <w:tcPr>
            <w:tcW w:type="dxa" w:w="2556"/>
            <w:vAlign w:val="center"/>
            <w:shd w:fill="1F4E79"/>
          </w:tcPr>
          <w:p>
            <w:r/>
            <w:r>
              <w:rPr>
                <w:rFonts w:ascii="Aptos" w:hAnsi="Aptos"/>
                <w:b/>
                <w:color w:val="FFFFFF"/>
                <w:sz w:val="17"/>
              </w:rPr>
              <w:t>Sujet</w:t>
            </w:r>
          </w:p>
        </w:tc>
        <w:tc>
          <w:tcPr>
            <w:tcW w:type="dxa" w:w="2556"/>
            <w:vAlign w:val="center"/>
            <w:shd w:fill="1F4E79"/>
          </w:tcPr>
          <w:p>
            <w:r/>
            <w:r>
              <w:rPr>
                <w:rFonts w:ascii="Aptos" w:hAnsi="Aptos"/>
                <w:b/>
                <w:color w:val="FFFFFF"/>
                <w:sz w:val="17"/>
              </w:rPr>
              <w:t>Décision</w:t>
            </w:r>
          </w:p>
        </w:tc>
        <w:tc>
          <w:tcPr>
            <w:tcW w:type="dxa" w:w="2556"/>
            <w:vAlign w:val="center"/>
            <w:shd w:fill="1F4E79"/>
          </w:tcPr>
          <w:p>
            <w:r/>
            <w:r>
              <w:rPr>
                <w:rFonts w:ascii="Aptos" w:hAnsi="Aptos"/>
                <w:b/>
                <w:color w:val="FFFFFF"/>
                <w:sz w:val="17"/>
              </w:rPr>
              <w:t>Responsable</w:t>
            </w:r>
          </w:p>
        </w:tc>
      </w:tr>
      <w:tr>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r>
      <w:tr>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r>
      <w:tr>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r>
      <w:tr>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r>
      <w:tr>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c>
          <w:tcPr>
            <w:tcW w:type="dxa" w:w="2556"/>
            <w:vAlign w:val="center"/>
          </w:tcPr>
          <w:p>
            <w:r/>
            <w:r>
              <w:rPr>
                <w:rFonts w:ascii="Aptos" w:hAnsi="Aptos"/>
                <w:b w:val="0"/>
                <w:sz w:val="17"/>
              </w:rPr>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Document de travail modifiable —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PEKEGNO MANAGEMENT SYSTEM — Cahier des charges fonctionnel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