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Brand"/>
      </w:pPr>
      <w:r>
        <w:t xml:space="preserve">CASH SHOP</w:t>
      </w:r>
    </w:p>
    <w:p>
      <w:pPr>
        <w:pStyle w:val="CoverTitle"/>
      </w:pPr>
      <w:r>
        <w:t xml:space="preserve">RAPPORT DE PROJET</w:t>
      </w:r>
    </w:p>
    <w:p>
      <w:pPr>
        <w:pStyle w:val="CoverSubtitle"/>
      </w:pPr>
      <w:r>
        <w:t xml:space="preserve">Application de gestion d’un commerce de détail</w:t>
      </w:r>
    </w:p>
    <w:p>
      <w:pPr>
        <w:pStyle w:val="CoverDesc"/>
      </w:pPr>
      <w:r>
        <w:t xml:space="preserve">Gestion des ventes, des stocks, des fournisseurs et des accès utilisateurs</w:t>
      </w:r>
    </w:p>
    <w:p>
      <w:pPr>
        <w:pStyle w:val="Normal"/>
      </w:pPr>
      <w:r>
        <w:t xml:space="preserve"/>
      </w:r>
    </w:p>
    <w:p>
      <w:pPr>
        <w:pStyle w:val="CoverMeta"/>
      </w:pPr>
      <w:r>
        <w:t xml:space="preserve">Version analysée : 1.0-SNAPSHOT</w:t>
      </w:r>
    </w:p>
    <w:p>
      <w:pPr>
        <w:pStyle w:val="CoverMeta"/>
      </w:pPr>
      <w:r>
        <w:t xml:space="preserve">Technologies principales : Java 17, Swing, Maven et MySQL</w:t>
      </w:r>
    </w:p>
    <w:p>
      <w:pPr>
        <w:pStyle w:val="CoverMeta"/>
      </w:pPr>
      <w:r>
        <w:t xml:space="preserve">Date : 2 octobre 2026</w:t>
      </w:r>
    </w:p>
    <w:p>
      <w:pPr>
        <w:pStyle w:val="CoverMeta"/>
      </w:pPr>
      <w:r>
        <w:t xml:space="preserve">Auteur : à compléter</w:t>
      </w:r>
    </w:p>
    <w:p>
      <w:pPr>
        <w:pStyle w:val="CoverMeta"/>
      </w:pPr>
      <w:r>
        <w:t xml:space="preserve">Établissement / formation : à compléter</w:t>
      </w:r>
    </w:p>
    <w:p>
      <w:r>
        <w:br w:type="page"/>
      </w:r>
    </w:p>
    <w:p>
      <w:pPr>
        <w:pStyle w:val="Heading1"/>
      </w:pPr>
      <w:r>
        <w:t xml:space="preserve">Résumé exécutif</w:t>
      </w:r>
    </w:p>
    <w:p>
      <w:pPr>
        <w:pStyle w:val="Normal"/>
      </w:pPr>
      <w:r>
        <w:t xml:space="preserve">CashShop est une application de bureau destinée à soutenir les opérations d’un commerce de détail. Elle réunit, dans une interface Java Swing, des fonctions de point de vente, de gestion des produits et des stocks, de suivi des ventes, d’administration des employés et des utilisateurs, de gestion des fournisseurs et des rayons, ainsi qu’un tableau de bord. Les données sont persistées dans une base MySQL via JDBC. L’application propose une connexion utilisateur et des modules filtrés selon le rôle.</w:t>
      </w:r>
    </w:p>
    <w:p>
      <w:pPr>
        <w:pStyle w:val="Normal"/>
      </w:pPr>
      <w:r>
        <w:t xml:space="preserve">Le projet est compilé avec Maven pour Java 17. La configuration Maven prévoit un JAR classique et un JAR autonome contenant les dépendances. La création du paquet Maven a déjà été vérifiée avec succès dans l’environnement du projet. Ce rapport décrit l’état visible du code et distingue les fonctions implémentées des validations qui restent à réaliser.</w:t>
      </w:r>
    </w:p>
    <w:p>
      <w:pPr>
        <w:pStyle w:val="Heading1"/>
      </w:pPr>
      <w:r>
        <w:t xml:space="preserve">Sommaire</w:t>
      </w:r>
    </w:p>
    <w:p>
      <w:pPr>
        <w:pStyle w:val="ListParagraph"/>
      </w:pPr>
      <w:r>
        <w:t xml:space="preserve">1. Présentation et objectifs</w:t>
      </w:r>
    </w:p>
    <w:p>
      <w:pPr>
        <w:pStyle w:val="ListParagraph"/>
      </w:pPr>
      <w:r>
        <w:t xml:space="preserve">2. Périmètre fonctionnel et profils</w:t>
      </w:r>
    </w:p>
    <w:p>
      <w:pPr>
        <w:pStyle w:val="ListParagraph"/>
      </w:pPr>
      <w:r>
        <w:t xml:space="preserve">3. Parcours utilisateurs principaux</w:t>
      </w:r>
    </w:p>
    <w:p>
      <w:pPr>
        <w:pStyle w:val="ListParagraph"/>
      </w:pPr>
      <w:r>
        <w:t xml:space="preserve">4. Architecture et données</w:t>
      </w:r>
    </w:p>
    <w:p>
      <w:pPr>
        <w:pStyle w:val="ListParagraph"/>
      </w:pPr>
      <w:r>
        <w:t xml:space="preserve">5. Technologies et construction</w:t>
      </w:r>
    </w:p>
    <w:p>
      <w:pPr>
        <w:pStyle w:val="ListParagraph"/>
      </w:pPr>
      <w:r>
        <w:t xml:space="preserve">6. Validation et état des tests</w:t>
      </w:r>
    </w:p>
    <w:p>
      <w:pPr>
        <w:pStyle w:val="ListParagraph"/>
      </w:pPr>
      <w:r>
        <w:t xml:space="preserve">7. Risques, recommandations et évolutions</w:t>
      </w:r>
    </w:p>
    <w:p>
      <w:pPr>
        <w:pStyle w:val="ListParagraph"/>
      </w:pPr>
      <w:r>
        <w:t xml:space="preserve">8. Conclusion</w:t>
      </w:r>
    </w:p>
    <w:p>
      <w:r>
        <w:br w:type="page"/>
      </w:r>
    </w:p>
    <w:p>
      <w:pPr>
        <w:pStyle w:val="Heading1"/>
      </w:pPr>
      <w:r>
        <w:t xml:space="preserve">1. Présentation et objectifs</w:t>
      </w:r>
    </w:p>
    <w:p>
      <w:pPr>
        <w:pStyle w:val="Heading2"/>
      </w:pPr>
      <w:r>
        <w:t xml:space="preserve">1.1 Contexte</w:t>
      </w:r>
    </w:p>
    <w:p>
      <w:pPr>
        <w:pStyle w:val="Normal"/>
      </w:pPr>
      <w:r>
        <w:t xml:space="preserve">CashShop est un logiciel de gestion de magasin construit comme une application desktop. Il vise à centraliser des opérations quotidiennes qui seraient autrement réparties entre plusieurs outils : encaissement, suivi des produits, consultation des ventes, approvisionnement et administration du personnel.</w:t>
      </w:r>
    </w:p>
    <w:p>
      <w:pPr>
        <w:pStyle w:val="Heading2"/>
      </w:pPr>
      <w:r>
        <w:t xml:space="preserve">1.2 Objectifs fonctionnels</w:t>
      </w:r>
    </w:p>
    <w:p>
      <w:pPr>
        <w:pStyle w:val="ListParagraph"/>
      </w:pPr>
      <w:r>
        <w:t xml:space="preserve">• Enregistrer les ventes et leurs lignes de produits, contrôler les quantités disponibles et présenter un reçu imprimable.</w:t>
      </w:r>
    </w:p>
    <w:p>
      <w:pPr>
        <w:pStyle w:val="ListParagraph"/>
      </w:pPr>
      <w:r>
        <w:t xml:space="preserve">• Gérer les produits, leurs prix, leurs caractéristiques et les mouvements de stock.</w:t>
      </w:r>
    </w:p>
    <w:p>
      <w:pPr>
        <w:pStyle w:val="ListParagraph"/>
      </w:pPr>
      <w:r>
        <w:t xml:space="preserve">• Organiser les rayons et les fournisseurs, avec un cycle de suivi des commandes d’approvisionnement.</w:t>
      </w:r>
    </w:p>
    <w:p>
      <w:pPr>
        <w:pStyle w:val="ListParagraph"/>
      </w:pPr>
      <w:r>
        <w:t xml:space="preserve">• Gérer les employés et les comptes utilisateurs, avec des droits associés aux rôles.</w:t>
      </w:r>
    </w:p>
    <w:p>
      <w:pPr>
        <w:pStyle w:val="ListParagraph"/>
      </w:pPr>
      <w:r>
        <w:t xml:space="preserve">• Fournir des vues de synthèse et des listes consultables avec actualisation périodique.</w:t>
      </w:r>
    </w:p>
    <w:p>
      <w:pPr>
        <w:pStyle w:val="Heading1"/>
      </w:pPr>
      <w:r>
        <w:t xml:space="preserve">2. Périmètre fonctionnel et profils</w:t>
      </w:r>
    </w:p>
    <w:p>
      <w:pPr>
        <w:pStyle w:val="Heading2"/>
      </w:pPr>
      <w:r>
        <w:t xml:space="preserve">2.1 Modules repérés dans le code</w:t>
      </w:r>
    </w:p>
    <w:tbl>
      <w:tblPr>
        <w:tblW w:w="9360" w:type="dxa"/>
        <w:tblBorders>
          <w:top w:val="single" w:sz="5" w:color="CBD5E1"/>
          <w:left w:val="single" w:sz="5" w:color="CBD5E1"/>
          <w:bottom w:val="single" w:sz="5" w:color="CBD5E1"/>
          <w:right w:val="single" w:sz="5" w:color="CBD5E1"/>
          <w:insideH w:val="single" w:sz="4" w:color="CBD5E1"/>
          <w:insideV w:val="single" w:sz="4" w:color="CBD5E1"/>
        </w:tblBorders>
      </w:tblPr>
      <w:tblGrid>
        <w:gridCol w:w="2500"/>
        <w:gridCol w:w="6860"/>
      </w:tblGrid>
      <w:tr>
        <w:tc>
          <w:tcPr>
            <w:tcW w:w="2500" w:type="dxa"/>
            <w:shd w:fill="17365D"/>
            <w:vAlign w:val="center"/>
          </w:tcPr>
          <w:p>
            <w:pPr>
              <w:pStyle w:val="TableText"/>
            </w:pPr>
            <w:r>
              <w:rPr>
                <w:b/>
                <w:color w:val="FFFFFF"/>
              </w:rPr>
              <w:t xml:space="preserve">Module</w:t>
            </w:r>
          </w:p>
        </w:tc>
        <w:tc>
          <w:tcPr>
            <w:tcW w:w="6860" w:type="dxa"/>
            <w:shd w:fill="17365D"/>
            <w:vAlign w:val="center"/>
          </w:tcPr>
          <w:p>
            <w:pPr>
              <w:pStyle w:val="TableText"/>
            </w:pPr>
            <w:r>
              <w:rPr>
                <w:b/>
                <w:color w:val="FFFFFF"/>
              </w:rPr>
              <w:t xml:space="preserve">Fonctions principales</w:t>
            </w:r>
          </w:p>
        </w:tc>
      </w:tr>
      <w:tr>
        <w:tc>
          <w:tcPr>
            <w:tcW w:w="2500" w:type="dxa"/>
            <w:vAlign w:val="center"/>
          </w:tcPr>
          <w:p>
            <w:pPr>
              <w:pStyle w:val="TableText"/>
            </w:pPr>
            <w:r>
              <w:t xml:space="preserve">Tableau de bord</w:t>
            </w:r>
          </w:p>
        </w:tc>
        <w:tc>
          <w:tcPr>
            <w:tcW w:w="6860" w:type="dxa"/>
            <w:vAlign w:val="center"/>
          </w:tcPr>
          <w:p>
            <w:pPr>
              <w:pStyle w:val="TableText"/>
            </w:pPr>
            <w:r>
              <w:t xml:space="preserve">Indicateurs de vente, d’activité, d’inventaire et alertes de stock / produits expirés.</w:t>
            </w:r>
          </w:p>
        </w:tc>
      </w:tr>
      <w:tr>
        <w:tc>
          <w:tcPr>
            <w:tcW w:w="2500" w:type="dxa"/>
            <w:vAlign w:val="center"/>
          </w:tcPr>
          <w:p>
            <w:pPr>
              <w:pStyle w:val="TableText"/>
            </w:pPr>
            <w:r>
              <w:t xml:space="preserve">Point de vente</w:t>
            </w:r>
          </w:p>
        </w:tc>
        <w:tc>
          <w:tcPr>
            <w:tcW w:w="6860" w:type="dxa"/>
            <w:vAlign w:val="center"/>
          </w:tcPr>
          <w:p>
            <w:pPr>
              <w:pStyle w:val="TableText"/>
            </w:pPr>
            <w:r>
              <w:t xml:space="preserve">Sélection de produits et client, panier, contrôle du stock, paiement et reçu.</w:t>
            </w:r>
          </w:p>
        </w:tc>
      </w:tr>
      <w:tr>
        <w:tc>
          <w:tcPr>
            <w:tcW w:w="2500" w:type="dxa"/>
            <w:vAlign w:val="center"/>
          </w:tcPr>
          <w:p>
            <w:pPr>
              <w:pStyle w:val="TableText"/>
            </w:pPr>
            <w:r>
              <w:t xml:space="preserve">Historique des ventes</w:t>
            </w:r>
          </w:p>
        </w:tc>
        <w:tc>
          <w:tcPr>
            <w:tcW w:w="6860" w:type="dxa"/>
            <w:vAlign w:val="center"/>
          </w:tcPr>
          <w:p>
            <w:pPr>
              <w:pStyle w:val="TableText"/>
            </w:pPr>
            <w:r>
              <w:t xml:space="preserve">Consultation des ventes avec filtres de date, client et caissier.</w:t>
            </w:r>
          </w:p>
        </w:tc>
      </w:tr>
      <w:tr>
        <w:tc>
          <w:tcPr>
            <w:tcW w:w="2500" w:type="dxa"/>
            <w:vAlign w:val="center"/>
          </w:tcPr>
          <w:p>
            <w:pPr>
              <w:pStyle w:val="TableText"/>
            </w:pPr>
            <w:r>
              <w:t xml:space="preserve">Produits et stock</w:t>
            </w:r>
          </w:p>
        </w:tc>
        <w:tc>
          <w:tcPr>
            <w:tcW w:w="6860" w:type="dxa"/>
            <w:vAlign w:val="center"/>
          </w:tcPr>
          <w:p>
            <w:pPr>
              <w:pStyle w:val="TableText"/>
            </w:pPr>
            <w:r>
              <w:t xml:space="preserve">Catalogue, types de produits, quantités disponibles, seuils et alertes.</w:t>
            </w:r>
          </w:p>
        </w:tc>
      </w:tr>
      <w:tr>
        <w:tc>
          <w:tcPr>
            <w:tcW w:w="2500" w:type="dxa"/>
            <w:vAlign w:val="center"/>
          </w:tcPr>
          <w:p>
            <w:pPr>
              <w:pStyle w:val="TableText"/>
            </w:pPr>
            <w:r>
              <w:t xml:space="preserve">Rayons</w:t>
            </w:r>
          </w:p>
        </w:tc>
        <w:tc>
          <w:tcPr>
            <w:tcW w:w="6860" w:type="dxa"/>
            <w:vAlign w:val="center"/>
          </w:tcPr>
          <w:p>
            <w:pPr>
              <w:pStyle w:val="TableText"/>
            </w:pPr>
            <w:r>
              <w:t xml:space="preserve">Consultation ou gestion des rayons et association de produits.</w:t>
            </w:r>
          </w:p>
        </w:tc>
      </w:tr>
      <w:tr>
        <w:tc>
          <w:tcPr>
            <w:tcW w:w="2500" w:type="dxa"/>
            <w:vAlign w:val="center"/>
          </w:tcPr>
          <w:p>
            <w:pPr>
              <w:pStyle w:val="TableText"/>
            </w:pPr>
            <w:r>
              <w:t xml:space="preserve">Fournisseurs</w:t>
            </w:r>
          </w:p>
        </w:tc>
        <w:tc>
          <w:tcPr>
            <w:tcW w:w="6860" w:type="dxa"/>
            <w:vAlign w:val="center"/>
          </w:tcPr>
          <w:p>
            <w:pPr>
              <w:pStyle w:val="TableText"/>
            </w:pPr>
            <w:r>
              <w:t xml:space="preserve">Gestion des fournisseurs et des commandes, suivi des états et livraisons.</w:t>
            </w:r>
          </w:p>
        </w:tc>
      </w:tr>
      <w:tr>
        <w:tc>
          <w:tcPr>
            <w:tcW w:w="2500" w:type="dxa"/>
            <w:vAlign w:val="center"/>
          </w:tcPr>
          <w:p>
            <w:pPr>
              <w:pStyle w:val="TableText"/>
            </w:pPr>
            <w:r>
              <w:t xml:space="preserve">Employés et utilisateurs</w:t>
            </w:r>
          </w:p>
        </w:tc>
        <w:tc>
          <w:tcPr>
            <w:tcW w:w="6860" w:type="dxa"/>
            <w:vAlign w:val="center"/>
          </w:tcPr>
          <w:p>
            <w:pPr>
              <w:pStyle w:val="TableText"/>
            </w:pPr>
            <w:r>
              <w:t xml:space="preserve">Gestion des employés, comptes, rôles et opérations de changement de mot de passe.</w:t>
            </w:r>
          </w:p>
        </w:tc>
      </w:tr>
      <w:tr>
        <w:tc>
          <w:tcPr>
            <w:tcW w:w="2500" w:type="dxa"/>
            <w:vAlign w:val="center"/>
          </w:tcPr>
          <w:p>
            <w:pPr>
              <w:pStyle w:val="TableText"/>
            </w:pPr>
            <w:r>
              <w:t xml:space="preserve">Clients et reçus</w:t>
            </w:r>
          </w:p>
        </w:tc>
        <w:tc>
          <w:tcPr>
            <w:tcW w:w="6860" w:type="dxa"/>
            <w:vAlign w:val="center"/>
          </w:tcPr>
          <w:p>
            <w:pPr>
              <w:pStyle w:val="TableText"/>
            </w:pPr>
            <w:r>
              <w:t xml:space="preserve">Données client / fidélité et affichage ou impression des reçus.</w:t>
            </w:r>
          </w:p>
        </w:tc>
      </w:tr>
    </w:tbl>
    <w:p>
      <w:pPr>
        <w:pStyle w:val="Normal"/>
      </w:pPr>
      <w:r>
        <w:t xml:space="preserve">La liste des modules fonctionnels correspond aux vues et services présents dans le code. La disponibilité effective dépend aussi des droits attribués et de la configuration de la base.</w:t>
      </w:r>
    </w:p>
    <w:p>
      <w:pPr>
        <w:pStyle w:val="Heading2"/>
      </w:pPr>
      <w:r>
        <w:t xml:space="preserve">2.2 Profils et accès déclarés</w:t>
      </w:r>
    </w:p>
    <w:p>
      <w:pPr>
        <w:pStyle w:val="Normal"/>
      </w:pPr>
      <w:r>
        <w:t xml:space="preserve">Le service AccessService associe les rôles aux modules suivants. Les valeurs ci-dessous reprennent les droits déclarés par le code ; elles ne constituent pas une validation indépendante de la sécurité côté serveur ou base de données.</w:t>
      </w:r>
    </w:p>
    <w:tbl>
      <w:tblPr>
        <w:tblW w:w="9360" w:type="dxa"/>
        <w:tblBorders>
          <w:top w:val="single" w:sz="5" w:color="CBD5E1"/>
          <w:left w:val="single" w:sz="5" w:color="CBD5E1"/>
          <w:bottom w:val="single" w:sz="5" w:color="CBD5E1"/>
          <w:right w:val="single" w:sz="5" w:color="CBD5E1"/>
          <w:insideH w:val="single" w:sz="4" w:color="CBD5E1"/>
          <w:insideV w:val="single" w:sz="4" w:color="CBD5E1"/>
        </w:tblBorders>
      </w:tblPr>
      <w:tblGrid>
        <w:gridCol w:w="1900"/>
        <w:gridCol w:w="7460"/>
      </w:tblGrid>
      <w:tr>
        <w:tc>
          <w:tcPr>
            <w:tcW w:w="1900" w:type="dxa"/>
            <w:shd w:fill="17365D"/>
            <w:vAlign w:val="center"/>
          </w:tcPr>
          <w:p>
            <w:pPr>
              <w:pStyle w:val="TableText"/>
            </w:pPr>
            <w:r>
              <w:rPr>
                <w:b/>
                <w:color w:val="FFFFFF"/>
              </w:rPr>
              <w:t xml:space="preserve">Rôle</w:t>
            </w:r>
          </w:p>
        </w:tc>
        <w:tc>
          <w:tcPr>
            <w:tcW w:w="7460" w:type="dxa"/>
            <w:shd w:fill="17365D"/>
            <w:vAlign w:val="center"/>
          </w:tcPr>
          <w:p>
            <w:pPr>
              <w:pStyle w:val="TableText"/>
            </w:pPr>
            <w:r>
              <w:rPr>
                <w:b/>
                <w:color w:val="FFFFFF"/>
              </w:rPr>
              <w:t xml:space="preserve">Modules déclarés accessibles</w:t>
            </w:r>
          </w:p>
        </w:tc>
      </w:tr>
      <w:tr>
        <w:tc>
          <w:tcPr>
            <w:tcW w:w="1900" w:type="dxa"/>
            <w:vAlign w:val="center"/>
          </w:tcPr>
          <w:p>
            <w:pPr>
              <w:pStyle w:val="TableText"/>
            </w:pPr>
            <w:r>
              <w:t xml:space="preserve">ADMIN</w:t>
            </w:r>
          </w:p>
        </w:tc>
        <w:tc>
          <w:tcPr>
            <w:tcW w:w="7460" w:type="dxa"/>
            <w:vAlign w:val="center"/>
          </w:tcPr>
          <w:p>
            <w:pPr>
              <w:pStyle w:val="TableText"/>
            </w:pPr>
            <w:r>
              <w:t xml:space="preserve">Tableau de bord, employés, utilisateurs, produits, stock, rayons, fournisseurs, historique des ventes.</w:t>
            </w:r>
          </w:p>
        </w:tc>
      </w:tr>
      <w:tr>
        <w:tc>
          <w:tcPr>
            <w:tcW w:w="1900" w:type="dxa"/>
            <w:vAlign w:val="center"/>
          </w:tcPr>
          <w:p>
            <w:pPr>
              <w:pStyle w:val="TableText"/>
            </w:pPr>
            <w:r>
              <w:t xml:space="preserve">MANAGER</w:t>
            </w:r>
          </w:p>
        </w:tc>
        <w:tc>
          <w:tcPr>
            <w:tcW w:w="7460" w:type="dxa"/>
            <w:vAlign w:val="center"/>
          </w:tcPr>
          <w:p>
            <w:pPr>
              <w:pStyle w:val="TableText"/>
            </w:pPr>
            <w:r>
              <w:t xml:space="preserve">Produits, stock, fournisseurs, rayons.</w:t>
            </w:r>
          </w:p>
        </w:tc>
      </w:tr>
      <w:tr>
        <w:tc>
          <w:tcPr>
            <w:tcW w:w="1900" w:type="dxa"/>
            <w:vAlign w:val="center"/>
          </w:tcPr>
          <w:p>
            <w:pPr>
              <w:pStyle w:val="TableText"/>
            </w:pPr>
            <w:r>
              <w:t xml:space="preserve">COUNTER</w:t>
            </w:r>
          </w:p>
        </w:tc>
        <w:tc>
          <w:tcPr>
            <w:tcW w:w="7460" w:type="dxa"/>
            <w:vAlign w:val="center"/>
          </w:tcPr>
          <w:p>
            <w:pPr>
              <w:pStyle w:val="TableText"/>
            </w:pPr>
            <w:r>
              <w:t xml:space="preserve">Employés, produits, stock, fournisseurs, historique des ventes.</w:t>
            </w:r>
          </w:p>
        </w:tc>
      </w:tr>
      <w:tr>
        <w:tc>
          <w:tcPr>
            <w:tcW w:w="1900" w:type="dxa"/>
            <w:vAlign w:val="center"/>
          </w:tcPr>
          <w:p>
            <w:pPr>
              <w:pStyle w:val="TableText"/>
            </w:pPr>
            <w:r>
              <w:t xml:space="preserve">CASHIER</w:t>
            </w:r>
          </w:p>
        </w:tc>
        <w:tc>
          <w:tcPr>
            <w:tcW w:w="7460" w:type="dxa"/>
            <w:vAlign w:val="center"/>
          </w:tcPr>
          <w:p>
            <w:pPr>
              <w:pStyle w:val="TableText"/>
            </w:pPr>
            <w:r>
              <w:t xml:space="preserve">Ventes / point de vente.</w:t>
            </w:r>
          </w:p>
        </w:tc>
      </w:tr>
      <w:tr>
        <w:tc>
          <w:tcPr>
            <w:tcW w:w="1900" w:type="dxa"/>
            <w:vAlign w:val="center"/>
          </w:tcPr>
          <w:p>
            <w:pPr>
              <w:pStyle w:val="TableText"/>
            </w:pPr>
            <w:r>
              <w:t xml:space="preserve">AISLE_MANAGER</w:t>
            </w:r>
          </w:p>
        </w:tc>
        <w:tc>
          <w:tcPr>
            <w:tcW w:w="7460" w:type="dxa"/>
            <w:vAlign w:val="center"/>
          </w:tcPr>
          <w:p>
            <w:pPr>
              <w:pStyle w:val="TableText"/>
            </w:pPr>
            <w:r>
              <w:t xml:space="preserve">Rayons.</w:t>
            </w:r>
          </w:p>
        </w:tc>
      </w:tr>
      <w:tr>
        <w:tc>
          <w:tcPr>
            <w:tcW w:w="1900" w:type="dxa"/>
            <w:vAlign w:val="center"/>
          </w:tcPr>
          <w:p>
            <w:pPr>
              <w:pStyle w:val="TableText"/>
            </w:pPr>
            <w:r>
              <w:t xml:space="preserve">SECURITY / CLEANER</w:t>
            </w:r>
          </w:p>
        </w:tc>
        <w:tc>
          <w:tcPr>
            <w:tcW w:w="7460" w:type="dxa"/>
            <w:vAlign w:val="center"/>
          </w:tcPr>
          <w:p>
            <w:pPr>
              <w:pStyle w:val="TableText"/>
            </w:pPr>
            <w:r>
              <w:t xml:space="preserve">Aucun module accordé par la configuration actuelle.</w:t>
            </w:r>
          </w:p>
        </w:tc>
      </w:tr>
    </w:tbl>
    <w:p>
      <w:pPr>
        <w:pStyle w:val="Normal"/>
      </w:pPr>
      <w:r>
        <w:t xml:space="preserve">Point à clarifier : le module CUSTOMERS est défini dans l’énumération des modules, mais il n’apparaît dans les droits d’aucun des rôles ci-dessus. Il convient de confirmer si l’écran Clients doit être accessible et d’ajuster les règles en conséquence.</w:t>
      </w:r>
    </w:p>
    <w:p>
      <w:pPr>
        <w:pStyle w:val="Heading1"/>
      </w:pPr>
      <w:r>
        <w:t xml:space="preserve">3. Parcours utilisateurs principaux</w:t>
      </w:r>
    </w:p>
    <w:p>
      <w:pPr>
        <w:pStyle w:val="Heading2"/>
      </w:pPr>
      <w:r>
        <w:t xml:space="preserve">3.1 Connexion et ouverture d’un espace</w:t>
      </w:r>
    </w:p>
    <w:p>
      <w:pPr>
        <w:pStyle w:val="Normal"/>
      </w:pPr>
      <w:r>
        <w:t xml:space="preserve">L’utilisateur saisit son identifiant et son mot de passe. L’application interroge la base pour vérifier le compte, récupère le rôle et les informations employé associées, puis ouvre l’espace correspondant. Les caissiers accèdent directement au point de vente ; les responsables de rayon ouvrent une vue filtrée sur leurs rayons ; les autres profils autorisés arrivent sur la fenêtre d’accueil.</w:t>
      </w:r>
    </w:p>
    <w:p>
      <w:pPr>
        <w:pStyle w:val="Heading2"/>
      </w:pPr>
      <w:r>
        <w:t xml:space="preserve">3.2 Vente en caisse</w:t>
      </w:r>
    </w:p>
    <w:p>
      <w:pPr>
        <w:pStyle w:val="Normal"/>
      </w:pPr>
      <w:r>
        <w:t xml:space="preserve">Le caissier constitue un panier, choisit éventuellement un client, vérifie les disponibilités et finalise le paiement. Le code prévoit des modes de paiement espèces, carte bancaire et paiement mobile. Pour les espèces, le montant reçu et la monnaie peuvent être présentés sur le reçu. Une session de caisse et des rafraîchissements périodiques sont également gérés par la vue de vente.</w:t>
      </w:r>
    </w:p>
    <w:p>
      <w:pPr>
        <w:pStyle w:val="Heading2"/>
      </w:pPr>
      <w:r>
        <w:t xml:space="preserve">3.3 Commandes fournisseurs</w:t>
      </w:r>
    </w:p>
    <w:p>
      <w:pPr>
        <w:pStyle w:val="Normal"/>
      </w:pPr>
      <w:r>
        <w:t xml:space="preserve">Les commandes associent un fournisseur, des produits, une date, un montant et un état. Le cycle décrit par le modèle passe par une commande en attente, une décision d’approbation ou de refus, puis une confirmation de livraison. Les libellés techniques des états sont conservés tels quels dans le code et peuvent mériter une normalisation ultérieure.</w:t>
      </w:r>
    </w:p>
    <w:p>
      <w:pPr>
        <w:pStyle w:val="Heading2"/>
      </w:pPr>
      <w:r>
        <w:t xml:space="preserve">3.4 Compte utilisateur et reçus</w:t>
      </w:r>
    </w:p>
    <w:p>
      <w:pPr>
        <w:pStyle w:val="Normal"/>
      </w:pPr>
      <w:r>
        <w:t xml:space="preserve">Un utilisateur connecté peut modifier son mot de passe après saisie de l’ancien mot de passe et validation du nouveau. Le service impose une longueur minimale de huit caractères. Les reçus peuvent être affichés et envoyés à l’impression depuis une fenêtre dédiée.</w:t>
      </w:r>
    </w:p>
    <w:p>
      <w:pPr>
        <w:pStyle w:val="Heading1"/>
      </w:pPr>
      <w:r>
        <w:t xml:space="preserve">4. Architecture et données</w:t>
      </w:r>
    </w:p>
    <w:p>
      <w:pPr>
        <w:pStyle w:val="Heading2"/>
      </w:pPr>
      <w:r>
        <w:t xml:space="preserve">4.1 Organisation logique</w:t>
      </w:r>
    </w:p>
    <w:p>
      <w:pPr>
        <w:pStyle w:val="ListParagraph"/>
      </w:pPr>
      <w:r>
        <w:t xml:space="preserve">• Présentation : fenêtres Java Swing, tableaux, formulaires et composants visuels partagés.</w:t>
      </w:r>
    </w:p>
    <w:p>
      <w:pPr>
        <w:pStyle w:val="ListParagraph"/>
      </w:pPr>
      <w:r>
        <w:t xml:space="preserve">• Services : règles métier pour ventes, produits, paiements, clients, employés, utilisateurs, rayons et commandes.</w:t>
      </w:r>
    </w:p>
    <w:p>
      <w:pPr>
        <w:pStyle w:val="ListParagraph"/>
      </w:pPr>
      <w:r>
        <w:t xml:space="preserve">• Accès aux données : classes DAO utilisant JDBC et des requêtes SQL paramétrées.</w:t>
      </w:r>
    </w:p>
    <w:p>
      <w:pPr>
        <w:pStyle w:val="ListParagraph"/>
      </w:pPr>
      <w:r>
        <w:t xml:space="preserve">• Persistance : base MySQL configurée pour l’application CashShop.</w:t>
      </w:r>
    </w:p>
    <w:p>
      <w:pPr>
        <w:pStyle w:val="Normal"/>
      </w:pPr>
      <w:r>
        <w:t xml:space="preserve">Cette séparation par responsabilités facilite la maintenance, même si les vues desktop déclenchent encore directement plusieurs opérations métier et d’accès aux données. Certaines fenêtres utilisent des timers pour actualiser les données ; la gestion des fournisseurs emploie également des tâches en arrière-plan afin de limiter le blocage de l’interface.</w:t>
      </w:r>
    </w:p>
    <w:p>
      <w:pPr>
        <w:pStyle w:val="Heading2"/>
      </w:pPr>
      <w:r>
        <w:t xml:space="preserve">4.2 Principales entités</w:t>
      </w:r>
    </w:p>
    <w:p>
      <w:pPr>
        <w:pStyle w:val="Normal"/>
      </w:pPr>
      <w:r>
        <w:t xml:space="preserve">Le domaine comprend notamment les employés et leurs rôles, les utilisateurs, les produits (avec variantes frais, électroniques et artisanaux), les ventes et leurs produits, les clients, les paiements, les rayons, les fournisseurs et les commandes fournisseur. Les DAO emploient des PreparedStatement pour lier les paramètres SQL.</w:t>
      </w:r>
    </w:p>
    <w:p>
      <w:pPr>
        <w:pStyle w:val="Heading1"/>
      </w:pPr>
      <w:r>
        <w:t xml:space="preserve">5. Technologies et construction</w:t>
      </w:r>
    </w:p>
    <w:tbl>
      <w:tblPr>
        <w:tblW w:w="9360" w:type="dxa"/>
        <w:tblBorders>
          <w:top w:val="single" w:sz="5" w:color="CBD5E1"/>
          <w:left w:val="single" w:sz="5" w:color="CBD5E1"/>
          <w:bottom w:val="single" w:sz="5" w:color="CBD5E1"/>
          <w:right w:val="single" w:sz="5" w:color="CBD5E1"/>
          <w:insideH w:val="single" w:sz="4" w:color="CBD5E1"/>
          <w:insideV w:val="single" w:sz="4" w:color="CBD5E1"/>
        </w:tblBorders>
      </w:tblPr>
      <w:tblGrid>
        <w:gridCol w:w="2800"/>
        <w:gridCol w:w="6560"/>
      </w:tblGrid>
      <w:tr>
        <w:tc>
          <w:tcPr>
            <w:tcW w:w="2800" w:type="dxa"/>
            <w:shd w:fill="17365D"/>
            <w:vAlign w:val="center"/>
          </w:tcPr>
          <w:p>
            <w:pPr>
              <w:pStyle w:val="TableText"/>
            </w:pPr>
            <w:r>
              <w:rPr>
                <w:b/>
                <w:color w:val="FFFFFF"/>
              </w:rPr>
              <w:t xml:space="preserve">Composant</w:t>
            </w:r>
          </w:p>
        </w:tc>
        <w:tc>
          <w:tcPr>
            <w:tcW w:w="6560" w:type="dxa"/>
            <w:shd w:fill="17365D"/>
            <w:vAlign w:val="center"/>
          </w:tcPr>
          <w:p>
            <w:pPr>
              <w:pStyle w:val="TableText"/>
            </w:pPr>
            <w:r>
              <w:rPr>
                <w:b/>
                <w:color w:val="FFFFFF"/>
              </w:rPr>
              <w:t xml:space="preserve">Usage identifié</w:t>
            </w:r>
          </w:p>
        </w:tc>
      </w:tr>
      <w:tr>
        <w:tc>
          <w:tcPr>
            <w:tcW w:w="2800" w:type="dxa"/>
            <w:vAlign w:val="center"/>
          </w:tcPr>
          <w:p>
            <w:pPr>
              <w:pStyle w:val="TableText"/>
            </w:pPr>
            <w:r>
              <w:t xml:space="preserve">Java 17</w:t>
            </w:r>
          </w:p>
        </w:tc>
        <w:tc>
          <w:tcPr>
            <w:tcW w:w="6560" w:type="dxa"/>
            <w:vAlign w:val="center"/>
          </w:tcPr>
          <w:p>
            <w:pPr>
              <w:pStyle w:val="TableText"/>
            </w:pPr>
            <w:r>
              <w:t xml:space="preserve">Langage et niveau de compilation du projet.</w:t>
            </w:r>
          </w:p>
        </w:tc>
      </w:tr>
      <w:tr>
        <w:tc>
          <w:tcPr>
            <w:tcW w:w="2800" w:type="dxa"/>
            <w:vAlign w:val="center"/>
          </w:tcPr>
          <w:p>
            <w:pPr>
              <w:pStyle w:val="TableText"/>
            </w:pPr>
            <w:r>
              <w:t xml:space="preserve">Swing / AWT</w:t>
            </w:r>
          </w:p>
        </w:tc>
        <w:tc>
          <w:tcPr>
            <w:tcW w:w="6560" w:type="dxa"/>
            <w:vAlign w:val="center"/>
          </w:tcPr>
          <w:p>
            <w:pPr>
              <w:pStyle w:val="TableText"/>
            </w:pPr>
            <w:r>
              <w:t xml:space="preserve">Interface utilisateur desktop.</w:t>
            </w:r>
          </w:p>
        </w:tc>
      </w:tr>
      <w:tr>
        <w:tc>
          <w:tcPr>
            <w:tcW w:w="2800" w:type="dxa"/>
            <w:vAlign w:val="center"/>
          </w:tcPr>
          <w:p>
            <w:pPr>
              <w:pStyle w:val="TableText"/>
            </w:pPr>
            <w:r>
              <w:t xml:space="preserve">Maven</w:t>
            </w:r>
          </w:p>
        </w:tc>
        <w:tc>
          <w:tcPr>
            <w:tcW w:w="6560" w:type="dxa"/>
            <w:vAlign w:val="center"/>
          </w:tcPr>
          <w:p>
            <w:pPr>
              <w:pStyle w:val="TableText"/>
            </w:pPr>
            <w:r>
              <w:t xml:space="preserve">Compilation, gestion des dépendances et création des JAR.</w:t>
            </w:r>
          </w:p>
        </w:tc>
      </w:tr>
      <w:tr>
        <w:tc>
          <w:tcPr>
            <w:tcW w:w="2800" w:type="dxa"/>
            <w:vAlign w:val="center"/>
          </w:tcPr>
          <w:p>
            <w:pPr>
              <w:pStyle w:val="TableText"/>
            </w:pPr>
            <w:r>
              <w:t xml:space="preserve">MySQL Connector/J 8.4.0</w:t>
            </w:r>
          </w:p>
        </w:tc>
        <w:tc>
          <w:tcPr>
            <w:tcW w:w="6560" w:type="dxa"/>
            <w:vAlign w:val="center"/>
          </w:tcPr>
          <w:p>
            <w:pPr>
              <w:pStyle w:val="TableText"/>
            </w:pPr>
            <w:r>
              <w:t xml:space="preserve">Connexion JDBC à MySQL.</w:t>
            </w:r>
          </w:p>
        </w:tc>
      </w:tr>
      <w:tr>
        <w:tc>
          <w:tcPr>
            <w:tcW w:w="2800" w:type="dxa"/>
            <w:vAlign w:val="center"/>
          </w:tcPr>
          <w:p>
            <w:pPr>
              <w:pStyle w:val="TableText"/>
            </w:pPr>
            <w:r>
              <w:t xml:space="preserve">Jakarta Mail 2.0.1</w:t>
            </w:r>
          </w:p>
        </w:tc>
        <w:tc>
          <w:tcPr>
            <w:tcW w:w="6560" w:type="dxa"/>
            <w:vAlign w:val="center"/>
          </w:tcPr>
          <w:p>
            <w:pPr>
              <w:pStyle w:val="TableText"/>
            </w:pPr>
            <w:r>
              <w:t xml:space="preserve">Envoi de courriels de compte via un serveur SMTP configuré.</w:t>
            </w:r>
          </w:p>
        </w:tc>
      </w:tr>
      <w:tr>
        <w:tc>
          <w:tcPr>
            <w:tcW w:w="2800" w:type="dxa"/>
            <w:vAlign w:val="center"/>
          </w:tcPr>
          <w:p>
            <w:pPr>
              <w:pStyle w:val="TableText"/>
            </w:pPr>
            <w:r>
              <w:t xml:space="preserve">JUnit 4.13.2</w:t>
            </w:r>
          </w:p>
        </w:tc>
        <w:tc>
          <w:tcPr>
            <w:tcW w:w="6560" w:type="dxa"/>
            <w:vAlign w:val="center"/>
          </w:tcPr>
          <w:p>
            <w:pPr>
              <w:pStyle w:val="TableText"/>
            </w:pPr>
            <w:r>
              <w:t xml:space="preserve">Dépendance déclarée pour les tests (scope test).</w:t>
            </w:r>
          </w:p>
        </w:tc>
      </w:tr>
    </w:tbl>
    <w:p>
      <w:pPr>
        <w:pStyle w:val="Normal"/>
      </w:pPr>
      <w:r>
        <w:t xml:space="preserve">La commande Maven utilisée pour construire le projet est mvn package. La configuration produit le JAR applicatif cash_shop-1.0-SNAPSHOT.jar et un JAR autonome cash_shop-1.0-SNAPSHOT-jar-with-dependencies.jar. Le manifeste désigne com.cash_shop.App comme classe de démarrage. Après configuration d’une base adaptée, le lancement du JAR autonome se fait avec java -jar cash_shop-1.0-SNAPSHOT-jar-with-dependencies.jar.</w:t>
      </w:r>
    </w:p>
    <w:p>
      <w:pPr>
        <w:pStyle w:val="Normal"/>
      </w:pPr>
      <w:r>
        <w:t xml:space="preserve">Les paramètres SMTP sont lus depuis des variables d’environnement CASH_SHOP_SMTP_*. Les paramètres MySQL doivent, eux aussi, être fournis par un mécanisme de configuration fiable avant tout déploiement.</w:t>
      </w:r>
    </w:p>
    <w:p>
      <w:pPr>
        <w:pStyle w:val="Heading1"/>
      </w:pPr>
      <w:r>
        <w:t xml:space="preserve">6. Validation et état des tests</w:t>
      </w:r>
    </w:p>
    <w:p>
      <w:pPr>
        <w:pStyle w:val="Normal"/>
      </w:pPr>
      <w:r>
        <w:t xml:space="preserve">La construction Maven du projet a été exécutée avec succès lors de la génération du JAR. La compilation et l’empaquetage ont abouti sans erreur.</w:t>
      </w:r>
    </w:p>
    <w:p>
      <w:pPr>
        <w:pStyle w:val="Normal"/>
      </w:pPr>
      <w:r>
        <w:t xml:space="preserve">Aucun fichier de test Java sous src/test n’a été repéré dans l’arborescence inspectée. Le succès de la construction ne démontre donc pas à lui seul la couverture fonctionnelle, l’intégrité des transactions, l’accès réel à la base, ni le bon fonctionnement de l’impression ou de l’envoi de courriels. Ces scénarios devraient être vérifiés séparément dans un environnement de test.</w:t>
      </w:r>
    </w:p>
    <w:p>
      <w:pPr>
        <w:pStyle w:val="Heading1"/>
      </w:pPr>
      <w:r>
        <w:t xml:space="preserve">7. Risques, recommandations et évolutions</w:t>
      </w:r>
    </w:p>
    <w:p>
      <w:pPr>
        <w:pStyle w:val="Heading2"/>
      </w:pPr>
      <w:r>
        <w:t xml:space="preserve">7.1 Sécurité et exploitation</w:t>
      </w:r>
    </w:p>
    <w:p>
      <w:pPr>
        <w:pStyle w:val="ListParagraph"/>
      </w:pPr>
      <w:r>
        <w:t xml:space="preserve">• Retirer toute valeur d’identifiant ou de mot de passe par défaut du code et des paquets distribués. Externaliser l’URL et les identifiants de base, utiliser un gestionnaire de secrets lorsque possible et renouveler tout secret qui aurait été exposé.</w:t>
      </w:r>
    </w:p>
    <w:p>
      <w:pPr>
        <w:pStyle w:val="ListParagraph"/>
      </w:pPr>
      <w:r>
        <w:t xml:space="preserve">• Les DAO d’authentification et de mise à jour comparent ou enregistrent directement password_user. Remplacer cette approche par un hachage adaptatif avec sel (par exemple Argon2id ou bcrypt), puis prévoir une réinitialisation des mots de passe existants.</w:t>
      </w:r>
    </w:p>
    <w:p>
      <w:pPr>
        <w:pStyle w:val="ListParagraph"/>
      </w:pPr>
      <w:r>
        <w:t xml:space="preserve">• Le courriel de création de compte transporte un mot de passe temporaire. Préférer un lien de définition de mot de passe à usage unique et à durée limitée ; imposer son changement dès la première connexion.</w:t>
      </w:r>
    </w:p>
    <w:p>
      <w:pPr>
        <w:pStyle w:val="ListParagraph"/>
      </w:pPr>
      <w:r>
        <w:t xml:space="preserve">• Confirmer que les permissions sensibles sont appliquées à chaque action métier et pas uniquement par masquage des boutons ou navigation de l’interface.</w:t>
      </w:r>
    </w:p>
    <w:p>
      <w:pPr>
        <w:pStyle w:val="Heading2"/>
      </w:pPr>
      <w:r>
        <w:t xml:space="preserve">7.2 Qualité et évolutions fonctionnelles</w:t>
      </w:r>
    </w:p>
    <w:p>
      <w:pPr>
        <w:pStyle w:val="ListParagraph"/>
      </w:pPr>
      <w:r>
        <w:t xml:space="preserve">• Ajouter des tests unitaires pour les règles de calcul, les validations de ventes, les droits par rôle et le cycle de commandes ; prévoir des tests d’intégration avec une base isolée.</w:t>
      </w:r>
    </w:p>
    <w:p>
      <w:pPr>
        <w:pStyle w:val="ListParagraph"/>
      </w:pPr>
      <w:r>
        <w:t xml:space="preserve">• Documenter le schéma MySQL, les prérequis d’installation, les variables d’environnement, la sauvegarde et la restauration des données.</w:t>
      </w:r>
    </w:p>
    <w:p>
      <w:pPr>
        <w:pStyle w:val="ListParagraph"/>
      </w:pPr>
      <w:r>
        <w:t xml:space="preserve">• Vérifier et harmoniser les permissions du module Clients et clarifier les droits associés à chaque rôle.</w:t>
      </w:r>
    </w:p>
    <w:p>
      <w:pPr>
        <w:pStyle w:val="ListParagraph"/>
      </w:pPr>
      <w:r>
        <w:t xml:space="preserve">• Évaluer l’usage de BigDecimal pour les montants monétaires, afin d’éviter les erreurs d’arrondi liées aux nombres flottants.</w:t>
      </w:r>
    </w:p>
    <w:p>
      <w:pPr>
        <w:pStyle w:val="ListParagraph"/>
      </w:pPr>
      <w:r>
        <w:t xml:space="preserve">• Ajouter une journalisation structurée, une procédure de mise à jour et des contrôles de disponibilité de la base.</w:t>
      </w:r>
    </w:p>
    <w:p>
      <w:pPr>
        <w:pStyle w:val="Heading1"/>
      </w:pPr>
      <w:r>
        <w:t xml:space="preserve">8. Conclusion</w:t>
      </w:r>
    </w:p>
    <w:p>
      <w:pPr>
        <w:pStyle w:val="Normal"/>
      </w:pPr>
      <w:r>
        <w:t xml:space="preserve">CashShop fournit une base fonctionnelle de gestion de magasin couvrant la caisse, les stocks, les produits, les employés, les fournisseurs et les ventes, avec une interface Java Swing et une persistance MySQL. La compilation et la production du JAR sont opérationnelles. Avant une utilisation en production, les priorités sont de sécuriser la configuration des accès et le stockage des mots de passe, de formaliser les tests, puis de vérifier les règles de permissions et les scénarios réels avec une base de test.</w:t>
      </w:r>
    </w:p>
    <w:p>
      <w:pPr>
        <w:pStyle w:val="Heading2"/>
      </w:pPr>
      <w:r>
        <w:t xml:space="preserve">Note de méthode</w:t>
      </w:r>
    </w:p>
    <w:p>
      <w:pPr>
        <w:pStyle w:val="Normal"/>
      </w:pPr>
      <w:r>
        <w:t xml:space="preserve">Ce document a été rédigé à partir de l’inspection du code source et du fichier pom.xml du projet. Il ne remplace ni une recette utilisateur, ni un audit de sécurité, ni une validation de l’installation sur un poste cible. Les champs Auteur et Établissement sont laissés à compléter.</w:t>
      </w:r>
    </w:p>
    <w:sectPr>
      <w:headerReference w:type="default" r:id="rId2"/>
      <w:footerReference w:type="default" r:id="rId3"/>
      <w:pgSz w:w="11906" w:h="16838"/>
      <w:pgMar w:top="1134" w:right="1134" w:bottom="1134" w:left="1134" w:header="567" w:footer="567" w:gutter="0"/>
    </w:sectPr>
  </w:body>
</w:document>
</file>

<file path=word/footer1.xml><?xml version="1.0" encoding="utf-8"?>
<w:ftr xmlns:w="http://schemas.openxmlformats.org/wordprocessingml/2006/main">
  <w:p>
    <w:pPr>
      <w:jc w:val="center"/>
      <w:pBdr>
        <w:top w:val="single" w:sz="4" w:space="5" w:color="CBD5E1"/>
      </w:pBdr>
    </w:pPr>
    <w:r>
      <w:rPr>
        <w:color w:val="64748B"/>
        <w:sz w:val="18"/>
      </w:rPr>
      <w:t>CashShop - Rapport de projet  |  Page </w:t>
    </w:r>
    <w:fldSimple w:instr="PAGE">
      <w:r>
        <w:t>1</w:t>
      </w:r>
    </w:fldSimple>
  </w:p>
</w:ftr>
</file>

<file path=word/header1.xml><?xml version="1.0" encoding="utf-8"?>
<w:hdr xmlns:w="http://schemas.openxmlformats.org/wordprocessingml/2006/main">
  <w:p>
    <w:pPr>
      <w:jc w:val="right"/>
    </w:pPr>
    <w:r>
      <w:rPr>
        <w:color w:val="64748B"/>
        <w:sz w:val="18"/>
      </w:rPr>
      <w:t>DOCUMENT DE PROJET</w:t>
    </w:r>
  </w:p>
</w:hdr>
</file>

<file path=word/styles.xml><?xml version="1.0" encoding="utf-8"?>
<w:styles xmlns:w="http://schemas.openxmlformats.org/wordprocessingml/2006/main">
  <w:docDefaults>
    <w:rPrDefault>
      <w:rPr>
        <w:rFonts w:ascii="Aptos" w:hAnsi="Aptos"/>
        <w:sz w:val="21"/>
        <w:color w:val="243247"/>
      </w:rPr>
    </w:rPrDefault>
    <w:pPrDefault>
      <w:pPr>
        <w:spacing w:after="140" w:line="276" w:lineRule="auto"/>
      </w:pPr>
    </w:pPrDefault>
  </w:docDefaults>
  <w:style w:type="paragraph" w:default="1" w:styleId="Normal">
    <w:name w:val="Normal"/>
  </w:style>
  <w:style w:type="paragraph" w:styleId="Brand">
    <w:name w:val="Brand"/>
    <w:pPr>
      <w:jc w:val="center"/>
      <w:spacing w:before="1000" w:after="150"/>
    </w:pPr>
    <w:rPr>
      <w:rFonts w:ascii="Aptos Display" w:hAnsi="Aptos Display"/>
      <w:b/>
      <w:sz w:val="32"/>
      <w:color w:val="168AAD"/>
    </w:rPr>
  </w:style>
  <w:style w:type="paragraph" w:styleId="CoverTitle">
    <w:name w:val="Cover Title"/>
    <w:pPr>
      <w:jc w:val="center"/>
      <w:spacing w:before="300" w:after="220"/>
    </w:pPr>
    <w:rPr>
      <w:rFonts w:ascii="Aptos Display" w:hAnsi="Aptos Display"/>
      <w:b/>
      <w:sz w:val="44"/>
      <w:color w:val="17365D"/>
    </w:rPr>
  </w:style>
  <w:style w:type="paragraph" w:styleId="CoverSubtitle">
    <w:name w:val="Cover Subtitle"/>
    <w:pPr>
      <w:jc w:val="center"/>
      <w:spacing w:after="180"/>
    </w:pPr>
    <w:rPr>
      <w:sz w:val="30"/>
      <w:color w:val="168AAD"/>
    </w:rPr>
  </w:style>
  <w:style w:type="paragraph" w:styleId="CoverDesc">
    <w:name w:val="Cover Description"/>
    <w:pPr>
      <w:jc w:val="center"/>
      <w:spacing w:after="700"/>
    </w:pPr>
    <w:rPr>
      <w:sz w:val="22"/>
      <w:color w:val="526174"/>
    </w:rPr>
  </w:style>
  <w:style w:type="paragraph" w:styleId="CoverMeta">
    <w:name w:val="Cover Metadata"/>
    <w:pPr>
      <w:jc w:val="center"/>
      <w:spacing w:after="130"/>
    </w:pPr>
    <w:rPr>
      <w:sz w:val="22"/>
      <w:color w:val="35465C"/>
    </w:rPr>
  </w:style>
  <w:style w:type="paragraph" w:styleId="Heading1">
    <w:name w:val="heading 1"/>
    <w:basedOn w:val="Normal"/>
    <w:next w:val="Normal"/>
    <w:pPr>
      <w:keepNext/>
      <w:spacing w:before="320" w:after="150"/>
      <w:outlineLvl w:val="0"/>
    </w:pPr>
    <w:rPr>
      <w:rFonts w:ascii="Aptos Display" w:hAnsi="Aptos Display"/>
      <w:b/>
      <w:sz w:val="30"/>
      <w:color w:val="17365D"/>
    </w:rPr>
  </w:style>
  <w:style w:type="paragraph" w:styleId="Heading2">
    <w:name w:val="heading 2"/>
    <w:basedOn w:val="Normal"/>
    <w:next w:val="Normal"/>
    <w:pPr>
      <w:keepNext/>
      <w:spacing w:before="220" w:after="100"/>
      <w:outlineLvl w:val="1"/>
    </w:pPr>
    <w:rPr>
      <w:b/>
      <w:sz w:val="23"/>
      <w:color w:val="168AAD"/>
    </w:rPr>
  </w:style>
  <w:style w:type="paragraph" w:styleId="ListParagraph">
    <w:name w:val="List Paragraph"/>
    <w:basedOn w:val="Normal"/>
    <w:pPr>
      <w:ind w:left="360" w:hanging="180"/>
      <w:spacing w:after="90"/>
    </w:pPr>
  </w:style>
  <w:style w:type="paragraph" w:styleId="TableText">
    <w:name w:val="Table Text"/>
    <w:basedOn w:val="Normal"/>
    <w:pPr>
      <w:spacing w:before="30" w:after="30" w:line="240" w:lineRule="auto"/>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s>
</file>