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960119</wp:posOffset>
            </wp:positionH>
            <wp:positionV relativeFrom="margin">
              <wp:posOffset>-154303</wp:posOffset>
            </wp:positionV>
            <wp:extent cx="3851910" cy="1282065"/>
            <wp:effectExtent b="0" l="0" r="0" t="0"/>
            <wp:wrapSquare wrapText="bothSides" distB="0" distT="0" distL="114300" distR="114300"/>
            <wp:docPr descr="C:\Users\Design\Downloads\MU_LOGO_BROWN.jpg" id="8" name="image1.jpg"/>
            <a:graphic>
              <a:graphicData uri="http://schemas.openxmlformats.org/drawingml/2006/picture">
                <pic:pic>
                  <pic:nvPicPr>
                    <pic:cNvPr descr="C:\Users\Design\Downloads\MU_LOGO_BROWN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2"/>
        <w:gridCol w:w="6748"/>
        <w:tblGridChange w:id="0">
          <w:tblGrid>
            <w:gridCol w:w="2602"/>
            <w:gridCol w:w="674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Branch/Semester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BSc. IT (Cloud &amp; Application Development) / II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 Essentials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05CA0205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Assignment: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No.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Linux File System and Structure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29th January 2025</w:t>
            </w:r>
          </w:p>
        </w:tc>
      </w:tr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Name: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41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Abhishek Chauhan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16"/>
        <w:tblGridChange w:id="0">
          <w:tblGrid>
            <w:gridCol w:w="734"/>
            <w:gridCol w:w="8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List directory contents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ls -l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and understand permissions and ownership.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Create, copy, move, and delete files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touch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cp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mv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directories, navigate them, and remove them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mkdir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rmdir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ls -l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to list file permissions and analyze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Change file permissions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chmod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with symbolic and octal notations.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Change file ownership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chown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and group ownership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chgrp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setuid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setgid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and sticky bit permissions on files/directories.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soft and hard links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ln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Simulate common permission errors and resolve them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chmod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8038"/>
                <w:sz w:val="24"/>
                <w:szCs w:val="24"/>
                <w:rtl w:val="0"/>
              </w:rPr>
              <w:t xml:space="preserve">chown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141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1410"/>
              </w:tabs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a directory structure with files, set permissions for different users, and demonstrate file operations.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4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057"/>
      </w:tabs>
      <w:spacing w:after="0" w:before="0" w:line="240" w:lineRule="auto"/>
      <w:ind w:left="-56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-112392</wp:posOffset>
          </wp:positionH>
          <wp:positionV relativeFrom="paragraph">
            <wp:posOffset>-507997</wp:posOffset>
          </wp:positionV>
          <wp:extent cx="6440805" cy="723900"/>
          <wp:effectExtent b="0" l="0" r="0" t="0"/>
          <wp:wrapSquare wrapText="bothSides" distB="0" distT="0" distL="114300" distR="114300"/>
          <wp:docPr descr="C:\Users\Design\Downloads\A4_Report-03 (3).jpg" id="9" name="image2.jpg"/>
          <a:graphic>
            <a:graphicData uri="http://schemas.openxmlformats.org/drawingml/2006/picture">
              <pic:pic>
                <pic:nvPicPr>
                  <pic:cNvPr descr="C:\Users\Design\Downloads\A4_Report-03 (3).jpg" id="0" name="image2.jpg"/>
                  <pic:cNvPicPr preferRelativeResize="0"/>
                </pic:nvPicPr>
                <pic:blipFill>
                  <a:blip r:embed="rId1"/>
                  <a:srcRect b="3673" l="3679" r="4174" t="88971"/>
                  <a:stretch>
                    <a:fillRect/>
                  </a:stretch>
                </pic:blipFill>
                <pic:spPr>
                  <a:xfrm>
                    <a:off x="0" y="0"/>
                    <a:ext cx="644080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3D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31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D313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D3130"/>
  </w:style>
  <w:style w:type="paragraph" w:styleId="Footer">
    <w:name w:val="footer"/>
    <w:basedOn w:val="Normal"/>
    <w:link w:val="FooterChar"/>
    <w:uiPriority w:val="99"/>
    <w:semiHidden w:val="1"/>
    <w:unhideWhenUsed w:val="1"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QZxfh8wk6h/Z0lmsIwP7j5CrQ==">CgMxLjAyCGguZ2pkZ3hzOAByITFycVdxQU9DelQ4Y0cyc0NyaVlybmczUlBQVEpqX010eg==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2024-12-30T14:01:00Z</dcterms:created>
  <dc:creator>Design</dc:creator>
</cp:coreProperties>
</file>