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1E3A5F" w:sz="1"/>
              <w:left w:val="single" w:color="1E3A5F" w:sz="1"/>
              <w:bottom w:val="single" w:color="1E3A5F" w:sz="1"/>
              <w:right w:val="single" w:color="1E3A5F" w:sz="1"/>
            </w:tcBorders>
            <w:shd w:fill="1E3A5F" w:val="clear"/>
            <w:tcMar>
              <w:top w:type="dxa" w:w="500"/>
              <w:left w:type="dxa" w:w="600"/>
              <w:bottom w:type="dxa" w:w="500"/>
              <w:right w:type="dxa" w:w="600"/>
            </w:tcMar>
          </w:tcPr>
          <w:p>
            <w:pPr>
              <w:spacing w:before="60" w:after="80"/>
              <w:jc w:val="left"/>
            </w:pPr>
            <w:r>
              <w:rPr>
                <w:rFonts w:ascii="Arial" w:cs="Arial" w:eastAsia="Arial" w:hAnsi="Arial"/>
                <w:b/>
                <w:bCs/>
                <w:i w:val="false"/>
                <w:iCs w:val="false"/>
                <w:color w:val="FFFFFF"/>
                <w:sz w:val="52"/>
                <w:szCs w:val="52"/>
              </w:rPr>
              <w:t xml:space="preserve">TAKTFLOW SDV PLATFORM</w:t>
            </w:r>
          </w:p>
          <w:p>
            <w:pPr>
              <w:spacing w:before="60" w:after="60"/>
              <w:jc w:val="left"/>
            </w:pPr>
            <w:r>
              <w:rPr>
                <w:rFonts w:ascii="Arial" w:cs="Arial" w:eastAsia="Arial" w:hAnsi="Arial"/>
                <w:b w:val="false"/>
                <w:bCs w:val="false"/>
                <w:i w:val="false"/>
                <w:iCs w:val="false"/>
                <w:color w:val="A8C8F0"/>
                <w:sz w:val="32"/>
                <w:szCs w:val="32"/>
              </w:rPr>
              <w:t xml:space="preserve">Gap Filling Plan</w:t>
            </w:r>
          </w:p>
          <w:p>
            <w:pPr>
              <w:spacing w:before="60" w:after="200"/>
              <w:jc w:val="left"/>
            </w:pPr>
            <w:r>
              <w:rPr>
                <w:rFonts w:ascii="Arial" w:cs="Arial" w:eastAsia="Arial" w:hAnsi="Arial"/>
                <w:b w:val="false"/>
                <w:bCs w:val="false"/>
                <w:i/>
                <w:iCs/>
                <w:color w:val="CCE0F5"/>
                <w:sz w:val="22"/>
                <w:szCs w:val="22"/>
              </w:rPr>
              <w:t xml:space="preserve">Systematic closure of all identified gaps from prototype to production-ready open-source HIL</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126"/>
              <w:gridCol w:w="2126"/>
              <w:gridCol w:w="2127"/>
              <w:gridCol w:w="2127"/>
            </w:tblGrid>
            <w:tr>
              <w:tc>
                <w:tcPr>
                  <w:tcBorders>
                    <w:top w:val="single" w:color="2E6DAD" w:sz="1"/>
                    <w:left w:val="single" w:color="2E6DAD" w:sz="1"/>
                    <w:bottom w:val="single" w:color="2E6DAD" w:sz="1"/>
                    <w:right w:val="single" w:color="2E6DAD" w:sz="1"/>
                  </w:tcBorders>
                  <w:shd w:fill="162D4A" w:val="clear"/>
                  <w:tcMar>
                    <w:top w:type="dxa" w:w="120"/>
                    <w:left w:type="dxa" w:w="160"/>
                    <w:bottom w:type="dxa" w:w="120"/>
                    <w:right w:type="dxa" w:w="160"/>
                  </w:tcMar>
                </w:tcPr>
                <w:p>
                  <w:pPr>
                    <w:spacing w:before="60" w:after="20"/>
                    <w:jc w:val="left"/>
                  </w:pPr>
                  <w:r>
                    <w:rPr>
                      <w:rFonts w:ascii="Arial" w:cs="Arial" w:eastAsia="Arial" w:hAnsi="Arial"/>
                      <w:b/>
                      <w:bCs/>
                      <w:i w:val="false"/>
                      <w:iCs w:val="false"/>
                      <w:color w:val="FFFFFF"/>
                      <w:sz w:val="20"/>
                      <w:szCs w:val="20"/>
                    </w:rPr>
                    <w:t xml:space="preserve">Gaps Identified</w:t>
                  </w:r>
                </w:p>
                <w:p>
                  <w:pPr>
                    <w:spacing w:before="60" w:after="60"/>
                    <w:jc w:val="left"/>
                  </w:pPr>
                  <w:r>
                    <w:rPr>
                      <w:rFonts w:ascii="Arial" w:cs="Arial" w:eastAsia="Arial" w:hAnsi="Arial"/>
                      <w:b/>
                      <w:bCs/>
                      <w:i w:val="false"/>
                      <w:iCs w:val="false"/>
                      <w:color w:val="80B4E0"/>
                      <w:sz w:val="22"/>
                      <w:szCs w:val="22"/>
                    </w:rPr>
                    <w:t xml:space="preserve">12 total</w:t>
                  </w:r>
                </w:p>
              </w:tc>
              <w:tc>
                <w:tcPr>
                  <w:tcBorders>
                    <w:top w:val="single" w:color="2E6DAD" w:sz="1"/>
                    <w:left w:val="single" w:color="2E6DAD" w:sz="1"/>
                    <w:bottom w:val="single" w:color="2E6DAD" w:sz="1"/>
                    <w:right w:val="single" w:color="2E6DAD" w:sz="1"/>
                  </w:tcBorders>
                  <w:shd w:fill="162D4A" w:val="clear"/>
                  <w:tcMar>
                    <w:top w:type="dxa" w:w="120"/>
                    <w:left w:type="dxa" w:w="160"/>
                    <w:bottom w:type="dxa" w:w="120"/>
                    <w:right w:type="dxa" w:w="160"/>
                  </w:tcMar>
                </w:tcPr>
                <w:p>
                  <w:pPr>
                    <w:spacing w:before="60" w:after="20"/>
                    <w:jc w:val="left"/>
                  </w:pPr>
                  <w:r>
                    <w:rPr>
                      <w:rFonts w:ascii="Arial" w:cs="Arial" w:eastAsia="Arial" w:hAnsi="Arial"/>
                      <w:b/>
                      <w:bCs/>
                      <w:i w:val="false"/>
                      <w:iCs w:val="false"/>
                      <w:color w:val="FFFFFF"/>
                      <w:sz w:val="20"/>
                      <w:szCs w:val="20"/>
                    </w:rPr>
                    <w:t xml:space="preserve">Critical (P1)</w:t>
                  </w:r>
                </w:p>
                <w:p>
                  <w:pPr>
                    <w:spacing w:before="60" w:after="60"/>
                    <w:jc w:val="left"/>
                  </w:pPr>
                  <w:r>
                    <w:rPr>
                      <w:rFonts w:ascii="Arial" w:cs="Arial" w:eastAsia="Arial" w:hAnsi="Arial"/>
                      <w:b/>
                      <w:bCs/>
                      <w:i w:val="false"/>
                      <w:iCs w:val="false"/>
                      <w:color w:val="FF8A80"/>
                      <w:sz w:val="22"/>
                      <w:szCs w:val="22"/>
                    </w:rPr>
                    <w:t xml:space="preserve">3 gaps</w:t>
                  </w:r>
                </w:p>
              </w:tc>
              <w:tc>
                <w:tcPr>
                  <w:tcBorders>
                    <w:top w:val="single" w:color="2E6DAD" w:sz="1"/>
                    <w:left w:val="single" w:color="2E6DAD" w:sz="1"/>
                    <w:bottom w:val="single" w:color="2E6DAD" w:sz="1"/>
                    <w:right w:val="single" w:color="2E6DAD" w:sz="1"/>
                  </w:tcBorders>
                  <w:shd w:fill="162D4A" w:val="clear"/>
                  <w:tcMar>
                    <w:top w:type="dxa" w:w="120"/>
                    <w:left w:type="dxa" w:w="160"/>
                    <w:bottom w:type="dxa" w:w="120"/>
                    <w:right w:type="dxa" w:w="160"/>
                  </w:tcMar>
                </w:tcPr>
                <w:p>
                  <w:pPr>
                    <w:spacing w:before="60" w:after="20"/>
                    <w:jc w:val="left"/>
                  </w:pPr>
                  <w:r>
                    <w:rPr>
                      <w:rFonts w:ascii="Arial" w:cs="Arial" w:eastAsia="Arial" w:hAnsi="Arial"/>
                      <w:b/>
                      <w:bCs/>
                      <w:i w:val="false"/>
                      <w:iCs w:val="false"/>
                      <w:color w:val="FFFFFF"/>
                      <w:sz w:val="20"/>
                      <w:szCs w:val="20"/>
                    </w:rPr>
                    <w:t xml:space="preserve">Total Effort</w:t>
                  </w:r>
                </w:p>
                <w:p>
                  <w:pPr>
                    <w:spacing w:before="60" w:after="60"/>
                    <w:jc w:val="left"/>
                  </w:pPr>
                  <w:r>
                    <w:rPr>
                      <w:rFonts w:ascii="Arial" w:cs="Arial" w:eastAsia="Arial" w:hAnsi="Arial"/>
                      <w:b/>
                      <w:bCs/>
                      <w:i w:val="false"/>
                      <w:iCs w:val="false"/>
                      <w:color w:val="FFD180"/>
                      <w:sz w:val="22"/>
                      <w:szCs w:val="22"/>
                    </w:rPr>
                    <w:t xml:space="preserve">~24 weeks</w:t>
                  </w:r>
                </w:p>
              </w:tc>
              <w:tc>
                <w:tcPr>
                  <w:tcBorders>
                    <w:top w:val="single" w:color="2E6DAD" w:sz="1"/>
                    <w:left w:val="single" w:color="2E6DAD" w:sz="1"/>
                    <w:bottom w:val="single" w:color="2E6DAD" w:sz="1"/>
                    <w:right w:val="single" w:color="2E6DAD" w:sz="1"/>
                  </w:tcBorders>
                  <w:shd w:fill="162D4A" w:val="clear"/>
                  <w:tcMar>
                    <w:top w:type="dxa" w:w="120"/>
                    <w:left w:type="dxa" w:w="160"/>
                    <w:bottom w:type="dxa" w:w="120"/>
                    <w:right w:type="dxa" w:w="160"/>
                  </w:tcMar>
                </w:tcPr>
                <w:p>
                  <w:pPr>
                    <w:spacing w:before="60" w:after="20"/>
                    <w:jc w:val="left"/>
                  </w:pPr>
                  <w:r>
                    <w:rPr>
                      <w:rFonts w:ascii="Arial" w:cs="Arial" w:eastAsia="Arial" w:hAnsi="Arial"/>
                      <w:b/>
                      <w:bCs/>
                      <w:i w:val="false"/>
                      <w:iCs w:val="false"/>
                      <w:color w:val="FFFFFF"/>
                      <w:sz w:val="20"/>
                      <w:szCs w:val="20"/>
                    </w:rPr>
                    <w:t xml:space="preserve">After Closure</w:t>
                  </w:r>
                </w:p>
                <w:p>
                  <w:pPr>
                    <w:spacing w:before="60" w:after="60"/>
                    <w:jc w:val="left"/>
                  </w:pPr>
                  <w:r>
                    <w:rPr>
                      <w:rFonts w:ascii="Arial" w:cs="Arial" w:eastAsia="Arial" w:hAnsi="Arial"/>
                      <w:b/>
                      <w:bCs/>
                      <w:i w:val="false"/>
                      <w:iCs w:val="false"/>
                      <w:color w:val="69F0AE"/>
                      <w:sz w:val="22"/>
                      <w:szCs w:val="22"/>
                    </w:rPr>
                    <w:t xml:space="preserve">90%+ CANoe parity</w:t>
                  </w:r>
                </w:p>
              </w:tc>
            </w:tr>
          </w:tbl>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p>
      <w:r>
        <w:br w:type="page"/>
      </w:r>
    </w:p>
    <w:p>
      <w:pPr>
        <w:pStyle w:val="Heading1"/>
        <w:pBdr>
          <w:bottom w:val="single" w:color="1E3A5F" w:sz="8" w:space="4"/>
        </w:pBdr>
        <w:spacing w:before="320" w:after="140"/>
      </w:pPr>
      <w:r>
        <w:rPr>
          <w:rFonts w:ascii="Arial" w:cs="Arial" w:eastAsia="Arial" w:hAnsi="Arial"/>
          <w:b/>
          <w:bCs/>
          <w:color w:val="1E3A5F"/>
          <w:sz w:val="32"/>
          <w:szCs w:val="32"/>
        </w:rPr>
        <w:t xml:space="preserve">1. Overview</w:t>
      </w:r>
    </w:p>
    <w:p>
      <w:pPr>
        <w:spacing w:before="60" w:after="60"/>
        <w:jc w:val="left"/>
      </w:pPr>
      <w:r>
        <w:rPr>
          <w:rFonts w:ascii="Arial" w:cs="Arial" w:eastAsia="Arial" w:hAnsi="Arial"/>
          <w:b w:val="false"/>
          <w:bCs w:val="false"/>
          <w:i w:val="false"/>
          <w:iCs w:val="false"/>
          <w:color w:val="111111"/>
          <w:sz w:val="22"/>
          <w:szCs w:val="22"/>
        </w:rPr>
        <w:t xml:space="preserve">This document tracks all identified gaps in the Taktflow SDV platform against the target state of a production-ready, vendor-portable, ASIL D-capable open-source HIL. Each gap has a unique ID, priority, root cause, impact, fix path, tooling, effort estimate, and reusability assessment.</w:t>
      </w:r>
    </w:p>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22"/>
          <w:szCs w:val="22"/>
        </w:rPr>
        <w:t xml:space="preserve">The current platform state is strong: 7-ECU mixed HIL running, ARXML strict validation passing, SIL automated. The gaps below are the delta between the working prototype and a platform that a Tier-1 supplier or engineering services company could use commercially.</w:t>
      </w:r>
    </w:p>
    <w:p>
      <w:pPr>
        <w:spacing w:before="60" w:after="60"/>
        <w:jc w:val="left"/>
      </w:pPr>
      <w:r>
        <w:rPr>
          <w:rFonts w:ascii="Arial" w:cs="Arial" w:eastAsia="Arial" w:hAnsi="Arial"/>
          <w:b w:val="false"/>
          <w:bCs w:val="false"/>
          <w:i w:val="false"/>
          <w:iCs w:val="false"/>
          <w:color w:val="111111"/>
          <w:sz w:val="8"/>
          <w:szCs w:val="8"/>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E6DAD" w:sz="1"/>
              <w:left w:val="single" w:color="2E6DAD" w:sz="16"/>
              <w:bottom w:val="single" w:color="2E6DAD" w:sz="1"/>
              <w:right w:val="single" w:color="2E6DAD" w:sz="1"/>
            </w:tcBorders>
            <w:shd w:fill="DCE8F5" w:val="clear"/>
            <w:tcMar>
              <w:top w:type="dxa" w:w="120"/>
              <w:left w:type="dxa" w:w="200"/>
              <w:bottom w:type="dxa" w:w="120"/>
              <w:right w:type="dxa" w:w="200"/>
            </w:tcMar>
          </w:tcPr>
          <w:p>
            <w:pPr>
              <w:spacing w:before="60" w:after="60"/>
              <w:jc w:val="left"/>
            </w:pPr>
            <w:r>
              <w:rPr>
                <w:rFonts w:ascii="Arial" w:cs="Arial" w:eastAsia="Arial" w:hAnsi="Arial"/>
                <w:b w:val="false"/>
                <w:bCs w:val="false"/>
                <w:i/>
                <w:iCs/>
                <w:color w:val="111111"/>
                <w:sz w:val="20"/>
                <w:szCs w:val="20"/>
              </w:rPr>
              <w:t xml:space="preserve">Reusability is a first-class concern. Every gap fix is evaluated for whether it produces a reusable module — slave firmware, pytest fixture, CI step, or generator — that amortizes the effort across future projects. Gaps where the fix is not reusable are deprioritized.</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p>
      <w:pPr>
        <w:pStyle w:val="Heading1"/>
        <w:pBdr>
          <w:bottom w:val="single" w:color="1E3A5F" w:sz="8" w:space="4"/>
        </w:pBdr>
        <w:spacing w:before="320" w:after="140"/>
      </w:pPr>
      <w:r>
        <w:rPr>
          <w:rFonts w:ascii="Arial" w:cs="Arial" w:eastAsia="Arial" w:hAnsi="Arial"/>
          <w:b/>
          <w:bCs/>
          <w:color w:val="1E3A5F"/>
          <w:sz w:val="32"/>
          <w:szCs w:val="32"/>
        </w:rPr>
        <w:t xml:space="preserve">2. Gap Summary</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1200"/>
        <w:gridCol w:w="1100"/>
        <w:gridCol w:w="1000"/>
        <w:gridCol w:w="1406"/>
      </w:tblGrid>
      <w:tr>
        <w:trPr>
          <w:tblHeader/>
        </w:trPr>
        <w:tc>
          <w:tcPr>
            <w:tcW w:type="dxa" w:w="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ID</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Layer</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Title</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Priority</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Effort</w:t>
            </w:r>
          </w:p>
        </w:tc>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Status</w:t>
            </w:r>
          </w:p>
        </w:tc>
        <w:tc>
          <w:tcPr>
            <w:tcW w:type="dxa" w:w="140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Reusable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GAP-01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L0 — Requirements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ReqIF Requirements Layer</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jc w:val="center"/>
            </w:pPr>
            <w:r>
              <w:rPr>
                <w:rFonts w:ascii="Arial" w:cs="Arial" w:eastAsia="Arial" w:hAnsi="Arial"/>
                <w:b/>
                <w:bCs/>
                <w:i w:val="false"/>
                <w:iCs w:val="false"/>
                <w:color w:val="B71C1C"/>
                <w:sz w:val="18"/>
                <w:szCs w:val="18"/>
              </w:rPr>
              <w:t xml:space="preserve">P1 — Critical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11111"/>
                <w:sz w:val="18"/>
                <w:szCs w:val="18"/>
              </w:rPr>
              <w:t xml:space="preserve">1 week</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jc w:val="center"/>
            </w:pPr>
            <w:r>
              <w:rPr>
                <w:rFonts w:ascii="Arial" w:cs="Arial" w:eastAsia="Arial" w:hAnsi="Arial"/>
                <w:b/>
                <w:bCs/>
                <w:i w:val="false"/>
                <w:iCs w:val="false"/>
                <w:color w:val="B71C1C"/>
                <w:sz w:val="18"/>
                <w:szCs w:val="18"/>
              </w:rPr>
              <w:t xml:space="preserve">Gap</w:t>
            </w:r>
          </w:p>
        </w:tc>
        <w:tc>
          <w:tcPr>
            <w:tcW w:type="dxa" w:w="140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18"/>
                <w:szCs w:val="18"/>
              </w:rPr>
              <w:t xml:space="preserve">✓ Yes</w:t>
            </w:r>
          </w:p>
        </w:tc>
      </w:tr>
      <w:tr>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GAP-02</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L2 — ARXML</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ARXML XSD Validation in CI</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jc w:val="center"/>
            </w:pPr>
            <w:r>
              <w:rPr>
                <w:rFonts w:ascii="Arial" w:cs="Arial" w:eastAsia="Arial" w:hAnsi="Arial"/>
                <w:b/>
                <w:bCs/>
                <w:i w:val="false"/>
                <w:iCs w:val="false"/>
                <w:color w:val="B71C1C"/>
                <w:sz w:val="18"/>
                <w:szCs w:val="18"/>
              </w:rPr>
              <w:t xml:space="preserve">P1 — Critical</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iCs/>
                <w:color w:val="111111"/>
                <w:sz w:val="18"/>
                <w:szCs w:val="18"/>
              </w:rPr>
              <w:t xml:space="preserve">2 days</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jc w:val="center"/>
            </w:pPr>
            <w:r>
              <w:rPr>
                <w:rFonts w:ascii="Arial" w:cs="Arial" w:eastAsia="Arial" w:hAnsi="Arial"/>
                <w:b/>
                <w:bCs/>
                <w:i w:val="false"/>
                <w:iCs w:val="false"/>
                <w:color w:val="E65100"/>
                <w:sz w:val="18"/>
                <w:szCs w:val="18"/>
              </w:rPr>
              <w:t xml:space="preserve">In Progress</w:t>
            </w:r>
          </w:p>
        </w:tc>
        <w:tc>
          <w:tcPr>
            <w:tcW w:type="dxa" w:w="140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18"/>
                <w:szCs w:val="18"/>
              </w:rPr>
              <w:t xml:space="preserve">✓ Yes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GAP-03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L5 — PIL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PIL Transport Adapter</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jc w:val="center"/>
            </w:pPr>
            <w:r>
              <w:rPr>
                <w:rFonts w:ascii="Arial" w:cs="Arial" w:eastAsia="Arial" w:hAnsi="Arial"/>
                <w:b/>
                <w:bCs/>
                <w:i w:val="false"/>
                <w:iCs w:val="false"/>
                <w:color w:val="B71C1C"/>
                <w:sz w:val="18"/>
                <w:szCs w:val="18"/>
              </w:rPr>
              <w:t xml:space="preserve">P1 — Critical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11111"/>
                <w:sz w:val="18"/>
                <w:szCs w:val="18"/>
              </w:rPr>
              <w:t xml:space="preserve">1 week</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jc w:val="center"/>
            </w:pPr>
            <w:r>
              <w:rPr>
                <w:rFonts w:ascii="Arial" w:cs="Arial" w:eastAsia="Arial" w:hAnsi="Arial"/>
                <w:b/>
                <w:bCs/>
                <w:i w:val="false"/>
                <w:iCs w:val="false"/>
                <w:color w:val="B71C1C"/>
                <w:sz w:val="18"/>
                <w:szCs w:val="18"/>
              </w:rPr>
              <w:t xml:space="preserve">Gap</w:t>
            </w:r>
          </w:p>
        </w:tc>
        <w:tc>
          <w:tcPr>
            <w:tcW w:type="dxa" w:w="140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18"/>
                <w:szCs w:val="18"/>
              </w:rPr>
              <w:t xml:space="preserve">✓ Yes</w:t>
            </w:r>
          </w:p>
        </w:tc>
      </w:tr>
      <w:tr>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GAP-04</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L3 — BSW Codegen</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Os_Cfg / NvM_Cfg / WdgM_Cfg Generators</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jc w:val="center"/>
            </w:pPr>
            <w:r>
              <w:rPr>
                <w:rFonts w:ascii="Arial" w:cs="Arial" w:eastAsia="Arial" w:hAnsi="Arial"/>
                <w:b/>
                <w:bCs/>
                <w:i w:val="false"/>
                <w:iCs w:val="false"/>
                <w:color w:val="E65100"/>
                <w:sz w:val="18"/>
                <w:szCs w:val="18"/>
              </w:rPr>
              <w:t xml:space="preserve">P2 — High</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iCs/>
                <w:color w:val="111111"/>
                <w:sz w:val="18"/>
                <w:szCs w:val="18"/>
              </w:rPr>
              <w:t xml:space="preserve">2–3 weeks</w:t>
            </w:r>
          </w:p>
        </w:tc>
        <w:tc>
          <w:tcPr>
            <w:tcW w:type="dxa" w:w="1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top"/>
          </w:tcPr>
          <w:p>
            <w:pPr>
              <w:jc w:val="center"/>
            </w:pPr>
            <w:r>
              <w:rPr>
                <w:rFonts w:ascii="Arial" w:cs="Arial" w:eastAsia="Arial" w:hAnsi="Arial"/>
                <w:b/>
                <w:bCs/>
                <w:i w:val="false"/>
                <w:iCs w:val="false"/>
                <w:color w:val="7B5800"/>
                <w:sz w:val="18"/>
                <w:szCs w:val="18"/>
              </w:rPr>
              <w:t xml:space="preserve">Planned</w:t>
            </w:r>
          </w:p>
        </w:tc>
        <w:tc>
          <w:tcPr>
            <w:tcW w:type="dxa" w:w="140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18"/>
                <w:szCs w:val="18"/>
              </w:rPr>
              <w:t xml:space="preserve">✓ Yes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GAP-05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L6 — HIL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XCP Measurement &amp; Calibration</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jc w:val="center"/>
            </w:pPr>
            <w:r>
              <w:rPr>
                <w:rFonts w:ascii="Arial" w:cs="Arial" w:eastAsia="Arial" w:hAnsi="Arial"/>
                <w:b/>
                <w:bCs/>
                <w:i w:val="false"/>
                <w:iCs w:val="false"/>
                <w:color w:val="E65100"/>
                <w:sz w:val="18"/>
                <w:szCs w:val="18"/>
              </w:rPr>
              <w:t xml:space="preserve">P2 — 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11111"/>
                <w:sz w:val="18"/>
                <w:szCs w:val="18"/>
              </w:rPr>
              <w:t xml:space="preserve">5–7 weeks</w:t>
            </w:r>
          </w:p>
        </w:tc>
        <w:tc>
          <w:tcPr>
            <w:tcW w:type="dxa" w:w="1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top"/>
          </w:tcPr>
          <w:p>
            <w:pPr>
              <w:jc w:val="center"/>
            </w:pPr>
            <w:r>
              <w:rPr>
                <w:rFonts w:ascii="Arial" w:cs="Arial" w:eastAsia="Arial" w:hAnsi="Arial"/>
                <w:b/>
                <w:bCs/>
                <w:i w:val="false"/>
                <w:iCs w:val="false"/>
                <w:color w:val="7B5800"/>
                <w:sz w:val="18"/>
                <w:szCs w:val="18"/>
              </w:rPr>
              <w:t xml:space="preserve">Planned</w:t>
            </w:r>
          </w:p>
        </w:tc>
        <w:tc>
          <w:tcPr>
            <w:tcW w:type="dxa" w:w="140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18"/>
                <w:szCs w:val="18"/>
              </w:rPr>
              <w:t xml:space="preserve">✓ Yes</w:t>
            </w:r>
          </w:p>
        </w:tc>
      </w:tr>
      <w:tr>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GAP-06</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CI / Quality</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SonarQube / SonarCloud Dashboard</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jc w:val="center"/>
            </w:pPr>
            <w:r>
              <w:rPr>
                <w:rFonts w:ascii="Arial" w:cs="Arial" w:eastAsia="Arial" w:hAnsi="Arial"/>
                <w:b/>
                <w:bCs/>
                <w:i w:val="false"/>
                <w:iCs w:val="false"/>
                <w:color w:val="E65100"/>
                <w:sz w:val="18"/>
                <w:szCs w:val="18"/>
              </w:rPr>
              <w:t xml:space="preserve">P2 — High</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iCs/>
                <w:color w:val="111111"/>
                <w:sz w:val="18"/>
                <w:szCs w:val="18"/>
              </w:rPr>
              <w:t xml:space="preserve">2–3 days</w:t>
            </w:r>
          </w:p>
        </w:tc>
        <w:tc>
          <w:tcPr>
            <w:tcW w:type="dxa" w:w="1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top"/>
          </w:tcPr>
          <w:p>
            <w:pPr>
              <w:jc w:val="center"/>
            </w:pPr>
            <w:r>
              <w:rPr>
                <w:rFonts w:ascii="Arial" w:cs="Arial" w:eastAsia="Arial" w:hAnsi="Arial"/>
                <w:b/>
                <w:bCs/>
                <w:i w:val="false"/>
                <w:iCs w:val="false"/>
                <w:color w:val="7B5800"/>
                <w:sz w:val="18"/>
                <w:szCs w:val="18"/>
              </w:rPr>
              <w:t xml:space="preserve">Planned</w:t>
            </w:r>
          </w:p>
        </w:tc>
        <w:tc>
          <w:tcPr>
            <w:tcW w:type="dxa" w:w="140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18"/>
                <w:szCs w:val="18"/>
              </w:rPr>
              <w:t xml:space="preserve">✓ Yes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GAP-07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L6 — HIL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LIN Restbus Simulation</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jc w:val="center"/>
            </w:pPr>
            <w:r>
              <w:rPr>
                <w:rFonts w:ascii="Arial" w:cs="Arial" w:eastAsia="Arial" w:hAnsi="Arial"/>
                <w:b/>
                <w:bCs/>
                <w:i w:val="false"/>
                <w:iCs w:val="false"/>
                <w:color w:val="E65100"/>
                <w:sz w:val="18"/>
                <w:szCs w:val="18"/>
              </w:rPr>
              <w:t xml:space="preserve">P2 — 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11111"/>
                <w:sz w:val="18"/>
                <w:szCs w:val="18"/>
              </w:rPr>
              <w:t xml:space="preserve">2–3 weeks</w:t>
            </w:r>
          </w:p>
        </w:tc>
        <w:tc>
          <w:tcPr>
            <w:tcW w:type="dxa" w:w="1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top"/>
          </w:tcPr>
          <w:p>
            <w:pPr>
              <w:jc w:val="center"/>
            </w:pPr>
            <w:r>
              <w:rPr>
                <w:rFonts w:ascii="Arial" w:cs="Arial" w:eastAsia="Arial" w:hAnsi="Arial"/>
                <w:b/>
                <w:bCs/>
                <w:i w:val="false"/>
                <w:iCs w:val="false"/>
                <w:color w:val="7B5800"/>
                <w:sz w:val="18"/>
                <w:szCs w:val="18"/>
              </w:rPr>
              <w:t xml:space="preserve">Planned</w:t>
            </w:r>
          </w:p>
        </w:tc>
        <w:tc>
          <w:tcPr>
            <w:tcW w:type="dxa" w:w="140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18"/>
                <w:szCs w:val="18"/>
              </w:rPr>
              <w:t xml:space="preserve">✓ Yes</w:t>
            </w:r>
          </w:p>
        </w:tc>
      </w:tr>
      <w:tr>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GAP-08</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L1 — System Model</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Capella MBSE System Model</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top"/>
          </w:tcPr>
          <w:p>
            <w:pPr>
              <w:jc w:val="center"/>
            </w:pPr>
            <w:r>
              <w:rPr>
                <w:rFonts w:ascii="Arial" w:cs="Arial" w:eastAsia="Arial" w:hAnsi="Arial"/>
                <w:b/>
                <w:bCs/>
                <w:i w:val="false"/>
                <w:iCs w:val="false"/>
                <w:color w:val="7B5800"/>
                <w:sz w:val="18"/>
                <w:szCs w:val="18"/>
              </w:rPr>
              <w:t xml:space="preserve">P3 — Medium</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iCs/>
                <w:color w:val="111111"/>
                <w:sz w:val="18"/>
                <w:szCs w:val="18"/>
              </w:rPr>
              <w:t xml:space="preserve">3–4 weeks</w:t>
            </w:r>
          </w:p>
        </w:tc>
        <w:tc>
          <w:tcPr>
            <w:tcW w:type="dxa" w:w="1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top"/>
          </w:tcPr>
          <w:p>
            <w:pPr>
              <w:jc w:val="center"/>
            </w:pPr>
            <w:r>
              <w:rPr>
                <w:rFonts w:ascii="Arial" w:cs="Arial" w:eastAsia="Arial" w:hAnsi="Arial"/>
                <w:b/>
                <w:bCs/>
                <w:i w:val="false"/>
                <w:iCs w:val="false"/>
                <w:color w:val="7B5800"/>
                <w:sz w:val="18"/>
                <w:szCs w:val="18"/>
              </w:rPr>
              <w:t xml:space="preserve">Planned</w:t>
            </w:r>
          </w:p>
        </w:tc>
        <w:tc>
          <w:tcPr>
            <w:tcW w:type="dxa" w:w="140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18"/>
                <w:szCs w:val="18"/>
              </w:rPr>
              <w:t xml:space="preserve">✓ Yes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GAP-09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L6 — HIL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Automotive Ethernet / DoIP</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top"/>
          </w:tcPr>
          <w:p>
            <w:pPr>
              <w:jc w:val="center"/>
            </w:pPr>
            <w:r>
              <w:rPr>
                <w:rFonts w:ascii="Arial" w:cs="Arial" w:eastAsia="Arial" w:hAnsi="Arial"/>
                <w:b/>
                <w:bCs/>
                <w:i w:val="false"/>
                <w:iCs w:val="false"/>
                <w:color w:val="7B5800"/>
                <w:sz w:val="18"/>
                <w:szCs w:val="18"/>
              </w:rPr>
              <w:t xml:space="preserve">P3 — 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11111"/>
                <w:sz w:val="18"/>
                <w:szCs w:val="18"/>
              </w:rPr>
              <w:t xml:space="preserve">2–3 weeks hardware + software</w:t>
            </w:r>
          </w:p>
        </w:tc>
        <w:tc>
          <w:tcPr>
            <w:tcW w:type="dxa" w:w="1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top"/>
          </w:tcPr>
          <w:p>
            <w:pPr>
              <w:jc w:val="center"/>
            </w:pPr>
            <w:r>
              <w:rPr>
                <w:rFonts w:ascii="Arial" w:cs="Arial" w:eastAsia="Arial" w:hAnsi="Arial"/>
                <w:b/>
                <w:bCs/>
                <w:i w:val="false"/>
                <w:iCs w:val="false"/>
                <w:color w:val="7B5800"/>
                <w:sz w:val="18"/>
                <w:szCs w:val="18"/>
              </w:rPr>
              <w:t xml:space="preserve">Planned</w:t>
            </w:r>
          </w:p>
        </w:tc>
        <w:tc>
          <w:tcPr>
            <w:tcW w:type="dxa" w:w="140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18"/>
                <w:szCs w:val="18"/>
              </w:rPr>
              <w:t xml:space="preserve">✓ Yes</w:t>
            </w:r>
          </w:p>
        </w:tc>
      </w:tr>
      <w:tr>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GAP-10</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CI / Quality</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MC/DC Coverage for ASIL D</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top"/>
          </w:tcPr>
          <w:p>
            <w:pPr>
              <w:jc w:val="center"/>
            </w:pPr>
            <w:r>
              <w:rPr>
                <w:rFonts w:ascii="Arial" w:cs="Arial" w:eastAsia="Arial" w:hAnsi="Arial"/>
                <w:b/>
                <w:bCs/>
                <w:i w:val="false"/>
                <w:iCs w:val="false"/>
                <w:color w:val="7B5800"/>
                <w:sz w:val="18"/>
                <w:szCs w:val="18"/>
              </w:rPr>
              <w:t xml:space="preserve">P3 — Medium</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iCs/>
                <w:color w:val="111111"/>
                <w:sz w:val="18"/>
                <w:szCs w:val="18"/>
              </w:rPr>
              <w:t xml:space="preserve">1–2 weeks</w:t>
            </w:r>
          </w:p>
        </w:tc>
        <w:tc>
          <w:tcPr>
            <w:tcW w:type="dxa" w:w="1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top"/>
          </w:tcPr>
          <w:p>
            <w:pPr>
              <w:jc w:val="center"/>
            </w:pPr>
            <w:r>
              <w:rPr>
                <w:rFonts w:ascii="Arial" w:cs="Arial" w:eastAsia="Arial" w:hAnsi="Arial"/>
                <w:b/>
                <w:bCs/>
                <w:i w:val="false"/>
                <w:iCs w:val="false"/>
                <w:color w:val="7B5800"/>
                <w:sz w:val="18"/>
                <w:szCs w:val="18"/>
              </w:rPr>
              <w:t xml:space="preserve">Planned</w:t>
            </w:r>
          </w:p>
        </w:tc>
        <w:tc>
          <w:tcPr>
            <w:tcW w:type="dxa" w:w="140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18"/>
                <w:szCs w:val="18"/>
              </w:rPr>
              <w:t xml:space="preserve">✓ Yes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GAP-11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L3 — BSW Codegen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A2L / DCM Calibration File Generation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P4 — Low</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11111"/>
                <w:sz w:val="18"/>
                <w:szCs w:val="18"/>
              </w:rPr>
              <w:t xml:space="preserve">2–3 weeks (partly overlaps GAP-05)</w:t>
            </w:r>
          </w:p>
        </w:tc>
        <w:tc>
          <w:tcPr>
            <w:tcW w:type="dxa" w:w="1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top"/>
          </w:tcPr>
          <w:p>
            <w:pPr>
              <w:jc w:val="center"/>
            </w:pPr>
            <w:r>
              <w:rPr>
                <w:rFonts w:ascii="Arial" w:cs="Arial" w:eastAsia="Arial" w:hAnsi="Arial"/>
                <w:b/>
                <w:bCs/>
                <w:i w:val="false"/>
                <w:iCs w:val="false"/>
                <w:color w:val="7B5800"/>
                <w:sz w:val="18"/>
                <w:szCs w:val="18"/>
              </w:rPr>
              <w:t xml:space="preserve">Planned</w:t>
            </w:r>
          </w:p>
        </w:tc>
        <w:tc>
          <w:tcPr>
            <w:tcW w:type="dxa" w:w="140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18"/>
                <w:szCs w:val="18"/>
              </w:rPr>
              <w:t xml:space="preserve">✓ Yes</w:t>
            </w:r>
          </w:p>
        </w:tc>
      </w:tr>
      <w:tr>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GAP-12</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Docs / Portfolio</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Public GitHub Repository + Demo Video</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P4 — Low</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iCs/>
                <w:color w:val="111111"/>
                <w:sz w:val="18"/>
                <w:szCs w:val="18"/>
              </w:rPr>
              <w:t xml:space="preserve">1 week</w:t>
            </w:r>
          </w:p>
        </w:tc>
        <w:tc>
          <w:tcPr>
            <w:tcW w:type="dxa" w:w="1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top"/>
          </w:tcPr>
          <w:p>
            <w:pPr>
              <w:jc w:val="center"/>
            </w:pPr>
            <w:r>
              <w:rPr>
                <w:rFonts w:ascii="Arial" w:cs="Arial" w:eastAsia="Arial" w:hAnsi="Arial"/>
                <w:b/>
                <w:bCs/>
                <w:i w:val="false"/>
                <w:iCs w:val="false"/>
                <w:color w:val="7B5800"/>
                <w:sz w:val="18"/>
                <w:szCs w:val="18"/>
              </w:rPr>
              <w:t xml:space="preserve">Planned</w:t>
            </w:r>
          </w:p>
        </w:tc>
        <w:tc>
          <w:tcPr>
            <w:tcW w:type="dxa" w:w="1406"/>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top"/>
          </w:tcPr>
          <w:p>
            <w:pPr>
              <w:jc w:val="left"/>
            </w:pPr>
            <w:r>
              <w:rPr>
                <w:rFonts w:ascii="Arial" w:cs="Arial" w:eastAsia="Arial" w:hAnsi="Arial"/>
                <w:b/>
                <w:bCs/>
                <w:i w:val="false"/>
                <w:iCs w:val="false"/>
                <w:color w:val="7B5800"/>
                <w:sz w:val="18"/>
                <w:szCs w:val="18"/>
              </w:rPr>
              <w:t xml:space="preserve">N/A — one-time documentation effort</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p>
      <w:r>
        <w:br w:type="page"/>
      </w:r>
    </w:p>
    <w:p>
      <w:pPr>
        <w:pStyle w:val="Heading1"/>
        <w:pBdr>
          <w:bottom w:val="single" w:color="1E3A5F" w:sz="8" w:space="4"/>
        </w:pBdr>
        <w:spacing w:before="320" w:after="140"/>
      </w:pPr>
      <w:r>
        <w:rPr>
          <w:rFonts w:ascii="Arial" w:cs="Arial" w:eastAsia="Arial" w:hAnsi="Arial"/>
          <w:b/>
          <w:bCs/>
          <w:color w:val="1E3A5F"/>
          <w:sz w:val="32"/>
          <w:szCs w:val="32"/>
        </w:rPr>
        <w:t xml:space="preserve">3. Gap Details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400"/>
        <w:gridCol w:w="5106"/>
        <w:gridCol w:w="1600"/>
        <w:gridCol w:w="1600"/>
      </w:tblGrid>
      <w:tr>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GAP-01</w:t>
            </w:r>
          </w:p>
        </w:tc>
        <w:tc>
          <w:tcPr>
            <w:tcW w:type="dxa" w:w="510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ReqIF Requirements Layer</w:t>
            </w:r>
          </w:p>
        </w:tc>
        <w:tc>
          <w:tcPr>
            <w:tcW w:type="dxa" w:w="1600"/>
            <w:tcBorders>
              <w:top w:val="single" w:color="B71C1C" w:sz="1"/>
              <w:left w:val="single" w:color="B71C1C" w:sz="1"/>
              <w:bottom w:val="single" w:color="B71C1C" w:sz="1"/>
              <w:right w:val="single" w:color="B71C1C" w:sz="1"/>
            </w:tcBorders>
            <w:shd w:fill="FFEBEE" w:val="clear"/>
            <w:tcMar>
              <w:top w:type="dxa" w:w="80"/>
              <w:left w:type="dxa" w:w="120"/>
              <w:bottom w:type="dxa" w:w="80"/>
              <w:right w:type="dxa" w:w="120"/>
            </w:tcMar>
            <w:vAlign w:val="top"/>
          </w:tcPr>
          <w:p>
            <w:pPr>
              <w:jc w:val="center"/>
            </w:pPr>
            <w:r>
              <w:rPr>
                <w:rFonts w:ascii="Arial" w:cs="Arial" w:eastAsia="Arial" w:hAnsi="Arial"/>
                <w:b/>
                <w:bCs/>
                <w:i w:val="false"/>
                <w:iCs w:val="false"/>
                <w:color w:val="B71C1C"/>
                <w:sz w:val="18"/>
                <w:szCs w:val="18"/>
              </w:rPr>
              <w:t xml:space="preserve">P1 — Critical</w:t>
            </w:r>
          </w:p>
        </w:tc>
        <w:tc>
          <w:tcPr>
            <w:tcW w:type="dxa" w:w="1600"/>
            <w:tcBorders>
              <w:top w:val="single" w:color="1E3A5F" w:sz="1"/>
              <w:left w:val="single" w:color="1E3A5F" w:sz="1"/>
              <w:bottom w:val="single" w:color="1E3A5F" w:sz="1"/>
              <w:right w:val="single" w:color="1E3A5F" w:sz="1"/>
            </w:tcBorders>
            <w:shd w:fill="FFEBEE" w:val="clear"/>
            <w:tcMar>
              <w:top w:type="dxa" w:w="80"/>
              <w:left w:type="dxa" w:w="120"/>
              <w:bottom w:type="dxa" w:w="80"/>
              <w:right w:type="dxa" w:w="120"/>
            </w:tcMar>
            <w:vAlign w:val="top"/>
          </w:tcPr>
          <w:p>
            <w:pPr>
              <w:jc w:val="center"/>
            </w:pPr>
            <w:r>
              <w:rPr>
                <w:rFonts w:ascii="Arial" w:cs="Arial" w:eastAsia="Arial" w:hAnsi="Arial"/>
                <w:b/>
                <w:bCs/>
                <w:i w:val="false"/>
                <w:iCs w:val="false"/>
                <w:color w:val="B71C1C"/>
                <w:sz w:val="18"/>
                <w:szCs w:val="18"/>
              </w:rPr>
              <w:t xml:space="preserve">Gap</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600"/>
        <w:gridCol w:w="8106"/>
      </w:tblGrid>
      <w:tr>
        <w:tc>
          <w:tcPr>
            <w:tcW w:type="dxa" w:w="1600"/>
            <w:tcBorders>
              <w:top w:val="single" w:color="2E6DAD" w:sz="1"/>
              <w:left w:val="single" w:color="2E6DAD" w:sz="1"/>
              <w:bottom w:val="single" w:color="2E6DAD" w:sz="1"/>
              <w:right w:val="single" w:color="2E6DAD" w:sz="1"/>
            </w:tcBorders>
            <w:shd w:fill="2E6DAD"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Layer</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L0 — Requirements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Problem</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No requirements.reqif file exists. Traceability scripts (gen-traceability.sh, suspect-links.py) have nothing to link against. Test cases have no requirement ID references. Polarion / IBM DOORS import is not possible.</w:t>
            </w:r>
          </w:p>
        </w:tc>
      </w:tr>
      <w:tr>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jc w:val="left"/>
            </w:pPr>
            <w:r>
              <w:rPr>
                <w:rFonts w:ascii="Arial" w:cs="Arial" w:eastAsia="Arial" w:hAnsi="Arial"/>
                <w:b/>
                <w:bCs/>
                <w:i w:val="false"/>
                <w:iCs w:val="false"/>
                <w:color w:val="B71C1C"/>
                <w:sz w:val="20"/>
                <w:szCs w:val="20"/>
              </w:rPr>
              <w:t xml:space="preserve">Impact</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Cannot demonstrate requirement-to-test traceability. Breaks ISO 26262 ASIL D evidence chain. Portfolio cannot claim end-to-end traceability without this layer.</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20"/>
                <w:szCs w:val="20"/>
              </w:rPr>
              <w:t xml:space="preserve">Fix</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Create reqif/ folder. Define ~50 baseline requirements covering CAN communication, safe state behavior, fault detection, and E2E protection. Assign REQ-IDs to existing pytest test cases. Run gen-traceability.sh to produce first coverage report.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Tools</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11111"/>
                <w:sz w:val="19"/>
                <w:szCs w:val="19"/>
              </w:rPr>
              <w:t xml:space="preserve">doorstop (git-native), ReqIF 1.2 XML, gen-traceability.sh (already exists)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Effort</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1 week  |  Reusable: Yes — req IDs and traceability framework reused per project</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400"/>
        <w:gridCol w:w="5106"/>
        <w:gridCol w:w="1600"/>
        <w:gridCol w:w="1600"/>
      </w:tblGrid>
      <w:tr>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GAP-02</w:t>
            </w:r>
          </w:p>
        </w:tc>
        <w:tc>
          <w:tcPr>
            <w:tcW w:type="dxa" w:w="510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ARXML XSD Validation in CI</w:t>
            </w:r>
          </w:p>
        </w:tc>
        <w:tc>
          <w:tcPr>
            <w:tcW w:type="dxa" w:w="1600"/>
            <w:tcBorders>
              <w:top w:val="single" w:color="B71C1C" w:sz="1"/>
              <w:left w:val="single" w:color="B71C1C" w:sz="1"/>
              <w:bottom w:val="single" w:color="B71C1C" w:sz="1"/>
              <w:right w:val="single" w:color="B71C1C" w:sz="1"/>
            </w:tcBorders>
            <w:shd w:fill="FFEBEE" w:val="clear"/>
            <w:tcMar>
              <w:top w:type="dxa" w:w="80"/>
              <w:left w:type="dxa" w:w="120"/>
              <w:bottom w:type="dxa" w:w="80"/>
              <w:right w:type="dxa" w:w="120"/>
            </w:tcMar>
            <w:vAlign w:val="top"/>
          </w:tcPr>
          <w:p>
            <w:pPr>
              <w:jc w:val="center"/>
            </w:pPr>
            <w:r>
              <w:rPr>
                <w:rFonts w:ascii="Arial" w:cs="Arial" w:eastAsia="Arial" w:hAnsi="Arial"/>
                <w:b/>
                <w:bCs/>
                <w:i w:val="false"/>
                <w:iCs w:val="false"/>
                <w:color w:val="B71C1C"/>
                <w:sz w:val="18"/>
                <w:szCs w:val="18"/>
              </w:rPr>
              <w:t xml:space="preserve">P1 — Critical</w:t>
            </w:r>
          </w:p>
        </w:tc>
        <w:tc>
          <w:tcPr>
            <w:tcW w:type="dxa" w:w="1600"/>
            <w:tcBorders>
              <w:top w:val="single" w:color="1E3A5F" w:sz="1"/>
              <w:left w:val="single" w:color="1E3A5F" w:sz="1"/>
              <w:bottom w:val="single" w:color="1E3A5F" w:sz="1"/>
              <w:right w:val="single" w:color="1E3A5F" w:sz="1"/>
            </w:tcBorders>
            <w:shd w:fill="FFF3E0" w:val="clear"/>
            <w:tcMar>
              <w:top w:type="dxa" w:w="80"/>
              <w:left w:type="dxa" w:w="120"/>
              <w:bottom w:type="dxa" w:w="80"/>
              <w:right w:type="dxa" w:w="120"/>
            </w:tcMar>
            <w:vAlign w:val="top"/>
          </w:tcPr>
          <w:p>
            <w:pPr>
              <w:jc w:val="center"/>
            </w:pPr>
            <w:r>
              <w:rPr>
                <w:rFonts w:ascii="Arial" w:cs="Arial" w:eastAsia="Arial" w:hAnsi="Arial"/>
                <w:b/>
                <w:bCs/>
                <w:i w:val="false"/>
                <w:iCs w:val="false"/>
                <w:color w:val="E65100"/>
                <w:sz w:val="18"/>
                <w:szCs w:val="18"/>
              </w:rPr>
              <w:t xml:space="preserve">In Progress</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600"/>
        <w:gridCol w:w="8106"/>
      </w:tblGrid>
      <w:tr>
        <w:tc>
          <w:tcPr>
            <w:tcW w:type="dxa" w:w="1600"/>
            <w:tcBorders>
              <w:top w:val="single" w:color="2E6DAD" w:sz="1"/>
              <w:left w:val="single" w:color="2E6DAD" w:sz="1"/>
              <w:bottom w:val="single" w:color="2E6DAD" w:sz="1"/>
              <w:right w:val="single" w:color="2E6DAD" w:sz="1"/>
            </w:tcBorders>
            <w:shd w:fill="2E6DAD"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Layer</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L2 — ARXML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Problem</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ARXML strict schema validation passes in prototype (autosar-data: 0 warnings, 0 errors) but is not yet a hard CI gate. A future commit could silently break schema compliance.</w:t>
            </w:r>
          </w:p>
        </w:tc>
      </w:tr>
      <w:tr>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jc w:val="left"/>
            </w:pPr>
            <w:r>
              <w:rPr>
                <w:rFonts w:ascii="Arial" w:cs="Arial" w:eastAsia="Arial" w:hAnsi="Arial"/>
                <w:b/>
                <w:bCs/>
                <w:i w:val="false"/>
                <w:iCs w:val="false"/>
                <w:color w:val="B71C1C"/>
                <w:sz w:val="20"/>
                <w:szCs w:val="20"/>
              </w:rPr>
              <w:t xml:space="preserve">Impact</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DaVinci / EB tresos import could break without anyone noticing. The current pass result is a snapshot, not a guarantee.</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20"/>
                <w:szCs w:val="20"/>
              </w:rPr>
              <w:t xml:space="preserve">Fix</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Add validate_arxml.py as a mandatory CI step in GitHub Actions. Exit code 1 on any strict violation or reference error. Add armodel round-trip check with delta threshold ≤20.</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Tools</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11111"/>
                <w:sz w:val="19"/>
                <w:szCs w:val="19"/>
              </w:rPr>
              <w:t xml:space="preserve">autosar-data 0.10.x, armodel 1.8.x, GitHub Actions (already configured)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Effort</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2 days  |  Reusable: Yes — same CI step works for every ARXML-generating project</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400"/>
        <w:gridCol w:w="5106"/>
        <w:gridCol w:w="1600"/>
        <w:gridCol w:w="1600"/>
      </w:tblGrid>
      <w:tr>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GAP-03</w:t>
            </w:r>
          </w:p>
        </w:tc>
        <w:tc>
          <w:tcPr>
            <w:tcW w:type="dxa" w:w="510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PIL Transport Adapter</w:t>
            </w:r>
          </w:p>
        </w:tc>
        <w:tc>
          <w:tcPr>
            <w:tcW w:type="dxa" w:w="1600"/>
            <w:tcBorders>
              <w:top w:val="single" w:color="B71C1C" w:sz="1"/>
              <w:left w:val="single" w:color="B71C1C" w:sz="1"/>
              <w:bottom w:val="single" w:color="B71C1C" w:sz="1"/>
              <w:right w:val="single" w:color="B71C1C" w:sz="1"/>
            </w:tcBorders>
            <w:shd w:fill="FFEBEE" w:val="clear"/>
            <w:tcMar>
              <w:top w:type="dxa" w:w="80"/>
              <w:left w:type="dxa" w:w="120"/>
              <w:bottom w:type="dxa" w:w="80"/>
              <w:right w:type="dxa" w:w="120"/>
            </w:tcMar>
            <w:vAlign w:val="top"/>
          </w:tcPr>
          <w:p>
            <w:pPr>
              <w:jc w:val="center"/>
            </w:pPr>
            <w:r>
              <w:rPr>
                <w:rFonts w:ascii="Arial" w:cs="Arial" w:eastAsia="Arial" w:hAnsi="Arial"/>
                <w:b/>
                <w:bCs/>
                <w:i w:val="false"/>
                <w:iCs w:val="false"/>
                <w:color w:val="B71C1C"/>
                <w:sz w:val="18"/>
                <w:szCs w:val="18"/>
              </w:rPr>
              <w:t xml:space="preserve">P1 — Critical</w:t>
            </w:r>
          </w:p>
        </w:tc>
        <w:tc>
          <w:tcPr>
            <w:tcW w:type="dxa" w:w="1600"/>
            <w:tcBorders>
              <w:top w:val="single" w:color="1E3A5F" w:sz="1"/>
              <w:left w:val="single" w:color="1E3A5F" w:sz="1"/>
              <w:bottom w:val="single" w:color="1E3A5F" w:sz="1"/>
              <w:right w:val="single" w:color="1E3A5F" w:sz="1"/>
            </w:tcBorders>
            <w:shd w:fill="FFEBEE" w:val="clear"/>
            <w:tcMar>
              <w:top w:type="dxa" w:w="80"/>
              <w:left w:type="dxa" w:w="120"/>
              <w:bottom w:type="dxa" w:w="80"/>
              <w:right w:type="dxa" w:w="120"/>
            </w:tcMar>
            <w:vAlign w:val="top"/>
          </w:tcPr>
          <w:p>
            <w:pPr>
              <w:jc w:val="center"/>
            </w:pPr>
            <w:r>
              <w:rPr>
                <w:rFonts w:ascii="Arial" w:cs="Arial" w:eastAsia="Arial" w:hAnsi="Arial"/>
                <w:b/>
                <w:bCs/>
                <w:i w:val="false"/>
                <w:iCs w:val="false"/>
                <w:color w:val="B71C1C"/>
                <w:sz w:val="18"/>
                <w:szCs w:val="18"/>
              </w:rPr>
              <w:t xml:space="preserve">Gap</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600"/>
        <w:gridCol w:w="8106"/>
      </w:tblGrid>
      <w:tr>
        <w:tc>
          <w:tcPr>
            <w:tcW w:type="dxa" w:w="1600"/>
            <w:tcBorders>
              <w:top w:val="single" w:color="2E6DAD" w:sz="1"/>
              <w:left w:val="single" w:color="2E6DAD" w:sz="1"/>
              <w:bottom w:val="single" w:color="2E6DAD" w:sz="1"/>
              <w:right w:val="single" w:color="2E6DAD" w:sz="1"/>
            </w:tcBorders>
            <w:shd w:fill="2E6DAD"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Layer</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L5 — PIL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Problem</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pytest --target=pil flag exists in design but the conftest.py transport fixture is not wired. Same test cases must run on real silicon (STM32H7 / TMS570) via OpenOCD semihosting without code change.</w:t>
            </w:r>
          </w:p>
        </w:tc>
      </w:tr>
      <w:tr>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jc w:val="left"/>
            </w:pPr>
            <w:r>
              <w:rPr>
                <w:rFonts w:ascii="Arial" w:cs="Arial" w:eastAsia="Arial" w:hAnsi="Arial"/>
                <w:b/>
                <w:bCs/>
                <w:i w:val="false"/>
                <w:iCs w:val="false"/>
                <w:color w:val="B71C1C"/>
                <w:sz w:val="20"/>
                <w:szCs w:val="20"/>
              </w:rPr>
              <w:t xml:space="preserve">Impact</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SIL → PIL parity is not validated. The claim "same test runs across all three levels" is incomplete without PIL working.</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20"/>
                <w:szCs w:val="20"/>
              </w:rPr>
              <w:t xml:space="preserve">Fix</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Implement PIL transport in conftest.py. RPi flashes target via OpenOCD, stimulates via CAN, reads responses via semihosting UART. pytest --target=pil selects this transport automatically.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Tools</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11111"/>
                <w:sz w:val="19"/>
                <w:szCs w:val="19"/>
              </w:rPr>
              <w:t xml:space="preserve">OpenOCD 0.12.x, STM32H7 semihosting, python-can, existing PCAN-USB FD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Effort</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1 week  |  Reusable: Yes — PIL fixture reused for every STM32/TMS570 project</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p>
      <w:r>
        <w:br w:type="pag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400"/>
        <w:gridCol w:w="5106"/>
        <w:gridCol w:w="1600"/>
        <w:gridCol w:w="1600"/>
      </w:tblGrid>
      <w:tr>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GAP-04</w:t>
            </w:r>
          </w:p>
        </w:tc>
        <w:tc>
          <w:tcPr>
            <w:tcW w:type="dxa" w:w="510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Os_Cfg / NvM_Cfg / WdgM_Cfg Generators</w:t>
            </w:r>
          </w:p>
        </w:tc>
        <w:tc>
          <w:tcPr>
            <w:tcW w:type="dxa" w:w="1600"/>
            <w:tcBorders>
              <w:top w:val="single" w:color="E65100" w:sz="1"/>
              <w:left w:val="single" w:color="E65100" w:sz="1"/>
              <w:bottom w:val="single" w:color="E65100" w:sz="1"/>
              <w:right w:val="single" w:color="E65100" w:sz="1"/>
            </w:tcBorders>
            <w:shd w:fill="FFF3E0" w:val="clear"/>
            <w:tcMar>
              <w:top w:type="dxa" w:w="80"/>
              <w:left w:type="dxa" w:w="120"/>
              <w:bottom w:type="dxa" w:w="80"/>
              <w:right w:type="dxa" w:w="120"/>
            </w:tcMar>
            <w:vAlign w:val="top"/>
          </w:tcPr>
          <w:p>
            <w:pPr>
              <w:jc w:val="center"/>
            </w:pPr>
            <w:r>
              <w:rPr>
                <w:rFonts w:ascii="Arial" w:cs="Arial" w:eastAsia="Arial" w:hAnsi="Arial"/>
                <w:b/>
                <w:bCs/>
                <w:i w:val="false"/>
                <w:iCs w:val="false"/>
                <w:color w:val="E65100"/>
                <w:sz w:val="18"/>
                <w:szCs w:val="18"/>
              </w:rPr>
              <w:t xml:space="preserve">P2 — High</w:t>
            </w:r>
          </w:p>
        </w:tc>
        <w:tc>
          <w:tcPr>
            <w:tcW w:type="dxa" w:w="1600"/>
            <w:tcBorders>
              <w:top w:val="single" w:color="1E3A5F" w:sz="1"/>
              <w:left w:val="single" w:color="1E3A5F" w:sz="1"/>
              <w:bottom w:val="single" w:color="1E3A5F" w:sz="1"/>
              <w:right w:val="single" w:color="1E3A5F" w:sz="1"/>
            </w:tcBorders>
            <w:shd w:fill="FFFDE7" w:val="clear"/>
            <w:tcMar>
              <w:top w:type="dxa" w:w="80"/>
              <w:left w:type="dxa" w:w="120"/>
              <w:bottom w:type="dxa" w:w="80"/>
              <w:right w:type="dxa" w:w="120"/>
            </w:tcMar>
            <w:vAlign w:val="top"/>
          </w:tcPr>
          <w:p>
            <w:pPr>
              <w:jc w:val="center"/>
            </w:pPr>
            <w:r>
              <w:rPr>
                <w:rFonts w:ascii="Arial" w:cs="Arial" w:eastAsia="Arial" w:hAnsi="Arial"/>
                <w:b/>
                <w:bCs/>
                <w:i w:val="false"/>
                <w:iCs w:val="false"/>
                <w:color w:val="7B5800"/>
                <w:sz w:val="18"/>
                <w:szCs w:val="18"/>
              </w:rPr>
              <w:t xml:space="preserve">Planned</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600"/>
        <w:gridCol w:w="8106"/>
      </w:tblGrid>
      <w:tr>
        <w:tc>
          <w:tcPr>
            <w:tcW w:type="dxa" w:w="1600"/>
            <w:tcBorders>
              <w:top w:val="single" w:color="2E6DAD" w:sz="1"/>
              <w:left w:val="single" w:color="2E6DAD" w:sz="1"/>
              <w:bottom w:val="single" w:color="2E6DAD" w:sz="1"/>
              <w:right w:val="single" w:color="2E6DAD" w:sz="1"/>
            </w:tcBorders>
            <w:shd w:fill="2E6DAD"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Layer</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L3 — BSW Codegen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Problem</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Current arxmlgen generates CanIf, Com, PduR, E2E, RTE, and SWC configs. OS configuration (Os_Cfg.h), NvM (non-volatile memory), and WdgM (watchdog manager) generators are missing. These are required for a complete AUTOSAR BSW.</w:t>
            </w:r>
          </w:p>
        </w:tc>
      </w:tr>
      <w:tr>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jc w:val="left"/>
            </w:pPr>
            <w:r>
              <w:rPr>
                <w:rFonts w:ascii="Arial" w:cs="Arial" w:eastAsia="Arial" w:hAnsi="Arial"/>
                <w:b/>
                <w:bCs/>
                <w:i w:val="false"/>
                <w:iCs w:val="false"/>
                <w:color w:val="B71C1C"/>
                <w:sz w:val="20"/>
                <w:szCs w:val="20"/>
              </w:rPr>
              <w:t xml:space="preserve">Impact</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Generated BSW is incomplete for production-grade ECU. OS and watchdog config must be hand-written per project, breaking the automated pipeline promise.</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20"/>
                <w:szCs w:val="20"/>
              </w:rPr>
              <w:t xml:space="preserve">Fix</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Add three new generators: os_cfg.py (task definitions, alarms, resources from ARXML OsTask elements), nvm_cfg.py (block definitions from NvMBlockDescriptor), wdgm_cfg.py (supervised entity config).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Tools</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11111"/>
                <w:sz w:val="19"/>
                <w:szCs w:val="19"/>
              </w:rPr>
              <w:t xml:space="preserve">Existing arxmlgen architecture + Jinja2 templates. AUTOSAR Os/NvM/WdgM schema.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Effort</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2–3 weeks  |  Reusable: Yes — generators reused for every Classic AUTOSAR project</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400"/>
        <w:gridCol w:w="5106"/>
        <w:gridCol w:w="1600"/>
        <w:gridCol w:w="1600"/>
      </w:tblGrid>
      <w:tr>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GAP-05</w:t>
            </w:r>
          </w:p>
        </w:tc>
        <w:tc>
          <w:tcPr>
            <w:tcW w:type="dxa" w:w="510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XCP Measurement &amp; Calibration</w:t>
            </w:r>
          </w:p>
        </w:tc>
        <w:tc>
          <w:tcPr>
            <w:tcW w:type="dxa" w:w="1600"/>
            <w:tcBorders>
              <w:top w:val="single" w:color="E65100" w:sz="1"/>
              <w:left w:val="single" w:color="E65100" w:sz="1"/>
              <w:bottom w:val="single" w:color="E65100" w:sz="1"/>
              <w:right w:val="single" w:color="E65100" w:sz="1"/>
            </w:tcBorders>
            <w:shd w:fill="FFF3E0" w:val="clear"/>
            <w:tcMar>
              <w:top w:type="dxa" w:w="80"/>
              <w:left w:type="dxa" w:w="120"/>
              <w:bottom w:type="dxa" w:w="80"/>
              <w:right w:type="dxa" w:w="120"/>
            </w:tcMar>
            <w:vAlign w:val="top"/>
          </w:tcPr>
          <w:p>
            <w:pPr>
              <w:jc w:val="center"/>
            </w:pPr>
            <w:r>
              <w:rPr>
                <w:rFonts w:ascii="Arial" w:cs="Arial" w:eastAsia="Arial" w:hAnsi="Arial"/>
                <w:b/>
                <w:bCs/>
                <w:i w:val="false"/>
                <w:iCs w:val="false"/>
                <w:color w:val="E65100"/>
                <w:sz w:val="18"/>
                <w:szCs w:val="18"/>
              </w:rPr>
              <w:t xml:space="preserve">P2 — High</w:t>
            </w:r>
          </w:p>
        </w:tc>
        <w:tc>
          <w:tcPr>
            <w:tcW w:type="dxa" w:w="1600"/>
            <w:tcBorders>
              <w:top w:val="single" w:color="1E3A5F" w:sz="1"/>
              <w:left w:val="single" w:color="1E3A5F" w:sz="1"/>
              <w:bottom w:val="single" w:color="1E3A5F" w:sz="1"/>
              <w:right w:val="single" w:color="1E3A5F" w:sz="1"/>
            </w:tcBorders>
            <w:shd w:fill="FFFDE7" w:val="clear"/>
            <w:tcMar>
              <w:top w:type="dxa" w:w="80"/>
              <w:left w:type="dxa" w:w="120"/>
              <w:bottom w:type="dxa" w:w="80"/>
              <w:right w:type="dxa" w:w="120"/>
            </w:tcMar>
            <w:vAlign w:val="top"/>
          </w:tcPr>
          <w:p>
            <w:pPr>
              <w:jc w:val="center"/>
            </w:pPr>
            <w:r>
              <w:rPr>
                <w:rFonts w:ascii="Arial" w:cs="Arial" w:eastAsia="Arial" w:hAnsi="Arial"/>
                <w:b/>
                <w:bCs/>
                <w:i w:val="false"/>
                <w:iCs w:val="false"/>
                <w:color w:val="7B5800"/>
                <w:sz w:val="18"/>
                <w:szCs w:val="18"/>
              </w:rPr>
              <w:t xml:space="preserve">Planned</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600"/>
        <w:gridCol w:w="8106"/>
      </w:tblGrid>
      <w:tr>
        <w:tc>
          <w:tcPr>
            <w:tcW w:type="dxa" w:w="1600"/>
            <w:tcBorders>
              <w:top w:val="single" w:color="2E6DAD" w:sz="1"/>
              <w:left w:val="single" w:color="2E6DAD" w:sz="1"/>
              <w:bottom w:val="single" w:color="2E6DAD" w:sz="1"/>
              <w:right w:val="single" w:color="2E6DAD" w:sz="1"/>
            </w:tcBorders>
            <w:shd w:fill="2E6DAD"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Layer</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L6 — HIL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Problem</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No XCP slave on ECU firmware and no XCP master on HIL host. Internal ECU variables (PID states, filter outputs, fault counters) are invisible during test execution. Calibration parameters cannot be changed at runtime.</w:t>
            </w:r>
          </w:p>
        </w:tc>
      </w:tr>
      <w:tr>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jc w:val="left"/>
            </w:pPr>
            <w:r>
              <w:rPr>
                <w:rFonts w:ascii="Arial" w:cs="Arial" w:eastAsia="Arial" w:hAnsi="Arial"/>
                <w:b/>
                <w:bCs/>
                <w:i w:val="false"/>
                <w:iCs w:val="false"/>
                <w:color w:val="B71C1C"/>
                <w:sz w:val="20"/>
                <w:szCs w:val="20"/>
              </w:rPr>
              <w:t xml:space="preserve">Impact</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HIL tests can only verify CAN-visible behavior. Internal state debugging requires reflash cycles. Cannot perform model-based calibration workflows. Gap vs CANape is 0% coverage.</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20"/>
                <w:szCs w:val="20"/>
              </w:rPr>
              <w:t xml:space="preserve">Fix</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Part 1: Integrate Vector XCPlite (open source C) as XCP slave on STM32H7 / TMS570, compile-flag gated. Part 2: Wire pyxcp as pytest fixture on RPi (XCP master over CAN). Part 3: Build A2L generator from ELF DWARF via pyelftools + pya2ldb.</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Tools</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11111"/>
                <w:sz w:val="19"/>
                <w:szCs w:val="19"/>
              </w:rPr>
              <w:t xml:space="preserve">XCPlite (Vector open source), pyxcp, pyelftools, pya2ldb, python-can CAN transport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Effort</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5–7 weeks  |  Reusable: Yes — all three parts fully reusable across projects</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400"/>
        <w:gridCol w:w="5106"/>
        <w:gridCol w:w="1600"/>
        <w:gridCol w:w="1600"/>
      </w:tblGrid>
      <w:tr>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GAP-06</w:t>
            </w:r>
          </w:p>
        </w:tc>
        <w:tc>
          <w:tcPr>
            <w:tcW w:type="dxa" w:w="510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SonarQube / SonarCloud Dashboard</w:t>
            </w:r>
          </w:p>
        </w:tc>
        <w:tc>
          <w:tcPr>
            <w:tcW w:type="dxa" w:w="1600"/>
            <w:tcBorders>
              <w:top w:val="single" w:color="E65100" w:sz="1"/>
              <w:left w:val="single" w:color="E65100" w:sz="1"/>
              <w:bottom w:val="single" w:color="E65100" w:sz="1"/>
              <w:right w:val="single" w:color="E65100" w:sz="1"/>
            </w:tcBorders>
            <w:shd w:fill="FFF3E0" w:val="clear"/>
            <w:tcMar>
              <w:top w:type="dxa" w:w="80"/>
              <w:left w:type="dxa" w:w="120"/>
              <w:bottom w:type="dxa" w:w="80"/>
              <w:right w:type="dxa" w:w="120"/>
            </w:tcMar>
            <w:vAlign w:val="top"/>
          </w:tcPr>
          <w:p>
            <w:pPr>
              <w:jc w:val="center"/>
            </w:pPr>
            <w:r>
              <w:rPr>
                <w:rFonts w:ascii="Arial" w:cs="Arial" w:eastAsia="Arial" w:hAnsi="Arial"/>
                <w:b/>
                <w:bCs/>
                <w:i w:val="false"/>
                <w:iCs w:val="false"/>
                <w:color w:val="E65100"/>
                <w:sz w:val="18"/>
                <w:szCs w:val="18"/>
              </w:rPr>
              <w:t xml:space="preserve">P2 — High</w:t>
            </w:r>
          </w:p>
        </w:tc>
        <w:tc>
          <w:tcPr>
            <w:tcW w:type="dxa" w:w="1600"/>
            <w:tcBorders>
              <w:top w:val="single" w:color="1E3A5F" w:sz="1"/>
              <w:left w:val="single" w:color="1E3A5F" w:sz="1"/>
              <w:bottom w:val="single" w:color="1E3A5F" w:sz="1"/>
              <w:right w:val="single" w:color="1E3A5F" w:sz="1"/>
            </w:tcBorders>
            <w:shd w:fill="FFFDE7" w:val="clear"/>
            <w:tcMar>
              <w:top w:type="dxa" w:w="80"/>
              <w:left w:type="dxa" w:w="120"/>
              <w:bottom w:type="dxa" w:w="80"/>
              <w:right w:type="dxa" w:w="120"/>
            </w:tcMar>
            <w:vAlign w:val="top"/>
          </w:tcPr>
          <w:p>
            <w:pPr>
              <w:jc w:val="center"/>
            </w:pPr>
            <w:r>
              <w:rPr>
                <w:rFonts w:ascii="Arial" w:cs="Arial" w:eastAsia="Arial" w:hAnsi="Arial"/>
                <w:b/>
                <w:bCs/>
                <w:i w:val="false"/>
                <w:iCs w:val="false"/>
                <w:color w:val="7B5800"/>
                <w:sz w:val="18"/>
                <w:szCs w:val="18"/>
              </w:rPr>
              <w:t xml:space="preserve">Planned</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600"/>
        <w:gridCol w:w="8106"/>
      </w:tblGrid>
      <w:tr>
        <w:tc>
          <w:tcPr>
            <w:tcW w:type="dxa" w:w="1600"/>
            <w:tcBorders>
              <w:top w:val="single" w:color="2E6DAD" w:sz="1"/>
              <w:left w:val="single" w:color="2E6DAD" w:sz="1"/>
              <w:bottom w:val="single" w:color="2E6DAD" w:sz="1"/>
              <w:right w:val="single" w:color="2E6DAD" w:sz="1"/>
            </w:tcBorders>
            <w:shd w:fill="2E6DAD"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Layer</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CI / Quality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Problem</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MISRA config exists (misra.json, suppressions.txt) and gcov/lcov coverage is generated in SIL. But results are not surfaced in a persistent quality dashboard. Coverage trends over time are not visible.</w:t>
            </w:r>
          </w:p>
        </w:tc>
      </w:tr>
      <w:tr>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jc w:val="left"/>
            </w:pPr>
            <w:r>
              <w:rPr>
                <w:rFonts w:ascii="Arial" w:cs="Arial" w:eastAsia="Arial" w:hAnsi="Arial"/>
                <w:b/>
                <w:bCs/>
                <w:i w:val="false"/>
                <w:iCs w:val="false"/>
                <w:color w:val="B71C1C"/>
                <w:sz w:val="20"/>
                <w:szCs w:val="20"/>
              </w:rPr>
              <w:t xml:space="preserve">Impact</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No single-URL quality gate for portfolio demonstration. Cannot track coverage regression across sprints. MISRA violations not aggregated across all ECU source files.</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20"/>
                <w:szCs w:val="20"/>
              </w:rPr>
              <w:t xml:space="preserve">Fix</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Connect SonarCloud (free for public repos) to GitHub Actions. Feed lcov XML and cppcheck MISRA XML as CI artifacts. Add sonar-project.properties to repo root.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Tools</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11111"/>
                <w:sz w:val="19"/>
                <w:szCs w:val="19"/>
              </w:rPr>
              <w:t xml:space="preserve">SonarCloud (free), sonar-scanner, existing gcov/lcov + cppcheck output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Effort</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2–3 days  |  Reusable: Yes — same sonar-project.properties template for all projects</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p>
      <w:r>
        <w:br w:type="pag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400"/>
        <w:gridCol w:w="5106"/>
        <w:gridCol w:w="1600"/>
        <w:gridCol w:w="1600"/>
      </w:tblGrid>
      <w:tr>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GAP-07</w:t>
            </w:r>
          </w:p>
        </w:tc>
        <w:tc>
          <w:tcPr>
            <w:tcW w:type="dxa" w:w="510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LIN Restbus Simulation</w:t>
            </w:r>
          </w:p>
        </w:tc>
        <w:tc>
          <w:tcPr>
            <w:tcW w:type="dxa" w:w="1600"/>
            <w:tcBorders>
              <w:top w:val="single" w:color="E65100" w:sz="1"/>
              <w:left w:val="single" w:color="E65100" w:sz="1"/>
              <w:bottom w:val="single" w:color="E65100" w:sz="1"/>
              <w:right w:val="single" w:color="E65100" w:sz="1"/>
            </w:tcBorders>
            <w:shd w:fill="FFF3E0" w:val="clear"/>
            <w:tcMar>
              <w:top w:type="dxa" w:w="80"/>
              <w:left w:type="dxa" w:w="120"/>
              <w:bottom w:type="dxa" w:w="80"/>
              <w:right w:type="dxa" w:w="120"/>
            </w:tcMar>
            <w:vAlign w:val="top"/>
          </w:tcPr>
          <w:p>
            <w:pPr>
              <w:jc w:val="center"/>
            </w:pPr>
            <w:r>
              <w:rPr>
                <w:rFonts w:ascii="Arial" w:cs="Arial" w:eastAsia="Arial" w:hAnsi="Arial"/>
                <w:b/>
                <w:bCs/>
                <w:i w:val="false"/>
                <w:iCs w:val="false"/>
                <w:color w:val="E65100"/>
                <w:sz w:val="18"/>
                <w:szCs w:val="18"/>
              </w:rPr>
              <w:t xml:space="preserve">P2 — High</w:t>
            </w:r>
          </w:p>
        </w:tc>
        <w:tc>
          <w:tcPr>
            <w:tcW w:type="dxa" w:w="1600"/>
            <w:tcBorders>
              <w:top w:val="single" w:color="1E3A5F" w:sz="1"/>
              <w:left w:val="single" w:color="1E3A5F" w:sz="1"/>
              <w:bottom w:val="single" w:color="1E3A5F" w:sz="1"/>
              <w:right w:val="single" w:color="1E3A5F" w:sz="1"/>
            </w:tcBorders>
            <w:shd w:fill="FFFDE7" w:val="clear"/>
            <w:tcMar>
              <w:top w:type="dxa" w:w="80"/>
              <w:left w:type="dxa" w:w="120"/>
              <w:bottom w:type="dxa" w:w="80"/>
              <w:right w:type="dxa" w:w="120"/>
            </w:tcMar>
            <w:vAlign w:val="top"/>
          </w:tcPr>
          <w:p>
            <w:pPr>
              <w:jc w:val="center"/>
            </w:pPr>
            <w:r>
              <w:rPr>
                <w:rFonts w:ascii="Arial" w:cs="Arial" w:eastAsia="Arial" w:hAnsi="Arial"/>
                <w:b/>
                <w:bCs/>
                <w:i w:val="false"/>
                <w:iCs w:val="false"/>
                <w:color w:val="7B5800"/>
                <w:sz w:val="18"/>
                <w:szCs w:val="18"/>
              </w:rPr>
              <w:t xml:space="preserve">Planned</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600"/>
        <w:gridCol w:w="8106"/>
      </w:tblGrid>
      <w:tr>
        <w:tc>
          <w:tcPr>
            <w:tcW w:type="dxa" w:w="1600"/>
            <w:tcBorders>
              <w:top w:val="single" w:color="2E6DAD" w:sz="1"/>
              <w:left w:val="single" w:color="2E6DAD" w:sz="1"/>
              <w:bottom w:val="single" w:color="2E6DAD" w:sz="1"/>
              <w:right w:val="single" w:color="2E6DAD" w:sz="1"/>
            </w:tcBorders>
            <w:shd w:fill="2E6DAD"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Layer</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L6 — HIL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Problem</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MCP2003B LIN transceivers are in the BOM but no LIN restbus driver exists. hil_restbus.py covers CAN only. LIN nodes in the 7-ECU topology have no simulation counterpart.</w:t>
            </w:r>
          </w:p>
        </w:tc>
      </w:tr>
      <w:tr>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jc w:val="left"/>
            </w:pPr>
            <w:r>
              <w:rPr>
                <w:rFonts w:ascii="Arial" w:cs="Arial" w:eastAsia="Arial" w:hAnsi="Arial"/>
                <w:b/>
                <w:bCs/>
                <w:i w:val="false"/>
                <w:iCs w:val="false"/>
                <w:color w:val="B71C1C"/>
                <w:sz w:val="20"/>
                <w:szCs w:val="20"/>
              </w:rPr>
              <w:t xml:space="preserve">Impact</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ECUs with LIN interfaces cannot be fully tested. 40% of body domain ECUs (mirrors, window lifters, seats) use LIN. HIL coverage for these is zero.</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20"/>
                <w:szCs w:val="20"/>
              </w:rPr>
              <w:t xml:space="preserve">Fix</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Implement LIN master state machine on STM32H7 USART + MCP2003B. Add lin_restbus.py companion script to hil_restbus.py. Support LIN 2.1 schedule tables loaded from LDF file.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Tools</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11111"/>
                <w:sz w:val="19"/>
                <w:szCs w:val="19"/>
              </w:rPr>
              <w:t xml:space="preserve">STM32H7 USART, MCP2003B (already in BOM), python-lin or custom LDF parser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Effort</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2–3 weeks  |  Reusable: Yes — LIN restbus reused for any LIN-capable ECU project</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400"/>
        <w:gridCol w:w="5106"/>
        <w:gridCol w:w="1600"/>
        <w:gridCol w:w="1600"/>
      </w:tblGrid>
      <w:tr>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GAP-08</w:t>
            </w:r>
          </w:p>
        </w:tc>
        <w:tc>
          <w:tcPr>
            <w:tcW w:type="dxa" w:w="510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Capella MBSE System Model</w:t>
            </w:r>
          </w:p>
        </w:tc>
        <w:tc>
          <w:tcPr>
            <w:tcW w:type="dxa" w:w="1600"/>
            <w:tcBorders>
              <w:top w:val="single" w:color="F9A825" w:sz="1"/>
              <w:left w:val="single" w:color="F9A825" w:sz="1"/>
              <w:bottom w:val="single" w:color="F9A825" w:sz="1"/>
              <w:right w:val="single" w:color="F9A825" w:sz="1"/>
            </w:tcBorders>
            <w:shd w:fill="FFFDE7" w:val="clear"/>
            <w:tcMar>
              <w:top w:type="dxa" w:w="80"/>
              <w:left w:type="dxa" w:w="120"/>
              <w:bottom w:type="dxa" w:w="80"/>
              <w:right w:type="dxa" w:w="120"/>
            </w:tcMar>
            <w:vAlign w:val="top"/>
          </w:tcPr>
          <w:p>
            <w:pPr>
              <w:jc w:val="center"/>
            </w:pPr>
            <w:r>
              <w:rPr>
                <w:rFonts w:ascii="Arial" w:cs="Arial" w:eastAsia="Arial" w:hAnsi="Arial"/>
                <w:b/>
                <w:bCs/>
                <w:i w:val="false"/>
                <w:iCs w:val="false"/>
                <w:color w:val="F9A825"/>
                <w:sz w:val="18"/>
                <w:szCs w:val="18"/>
              </w:rPr>
              <w:t xml:space="preserve">P3 — Medium</w:t>
            </w:r>
          </w:p>
        </w:tc>
        <w:tc>
          <w:tcPr>
            <w:tcW w:type="dxa" w:w="1600"/>
            <w:tcBorders>
              <w:top w:val="single" w:color="1E3A5F" w:sz="1"/>
              <w:left w:val="single" w:color="1E3A5F" w:sz="1"/>
              <w:bottom w:val="single" w:color="1E3A5F" w:sz="1"/>
              <w:right w:val="single" w:color="1E3A5F" w:sz="1"/>
            </w:tcBorders>
            <w:shd w:fill="FFFDE7" w:val="clear"/>
            <w:tcMar>
              <w:top w:type="dxa" w:w="80"/>
              <w:left w:type="dxa" w:w="120"/>
              <w:bottom w:type="dxa" w:w="80"/>
              <w:right w:type="dxa" w:w="120"/>
            </w:tcMar>
            <w:vAlign w:val="top"/>
          </w:tcPr>
          <w:p>
            <w:pPr>
              <w:jc w:val="center"/>
            </w:pPr>
            <w:r>
              <w:rPr>
                <w:rFonts w:ascii="Arial" w:cs="Arial" w:eastAsia="Arial" w:hAnsi="Arial"/>
                <w:b/>
                <w:bCs/>
                <w:i w:val="false"/>
                <w:iCs w:val="false"/>
                <w:color w:val="7B5800"/>
                <w:sz w:val="18"/>
                <w:szCs w:val="18"/>
              </w:rPr>
              <w:t xml:space="preserve">Planned</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600"/>
        <w:gridCol w:w="8106"/>
      </w:tblGrid>
      <w:tr>
        <w:tc>
          <w:tcPr>
            <w:tcW w:type="dxa" w:w="1600"/>
            <w:tcBorders>
              <w:top w:val="single" w:color="2E6DAD" w:sz="1"/>
              <w:left w:val="single" w:color="2E6DAD" w:sz="1"/>
              <w:bottom w:val="single" w:color="2E6DAD" w:sz="1"/>
              <w:right w:val="single" w:color="2E6DAD" w:sz="1"/>
            </w:tcBorders>
            <w:shd w:fill="2E6DAD"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Layer</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L1 — System Model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Problem</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DBC is used as the system signal database but there is no formal system model (SysML / MBSE). Interface definitions, component decomposition, and operational analysis are not captured in a portable model.</w:t>
            </w:r>
          </w:p>
        </w:tc>
      </w:tr>
      <w:tr>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jc w:val="left"/>
            </w:pPr>
            <w:r>
              <w:rPr>
                <w:rFonts w:ascii="Arial" w:cs="Arial" w:eastAsia="Arial" w:hAnsi="Arial"/>
                <w:b/>
                <w:bCs/>
                <w:i w:val="false"/>
                <w:iCs w:val="false"/>
                <w:color w:val="B71C1C"/>
                <w:sz w:val="20"/>
                <w:szCs w:val="20"/>
              </w:rPr>
              <w:t xml:space="preserve">Impact</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Cannot export SysML XMI for Simulink / Rhapsody import. System-level architecture is implicit in code, not in a model that can be shared with OEM systems engineers.</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20"/>
                <w:szCs w:val="20"/>
              </w:rPr>
              <w:t xml:space="preserve">Fix</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Create Capella project with operational analysis, system analysis (3-ECU → 7-ECU topology), and logical architecture. Export SysML XMI. Feed interface definitions into ARXML generator.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Tools</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11111"/>
                <w:sz w:val="19"/>
                <w:szCs w:val="19"/>
              </w:rPr>
              <w:t xml:space="preserve">Capella MBSE (free Eclipse-based), SysML XMI export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Effort</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3–4 weeks  |  Reusable: Yes — Capella templates reusable for zonal architecture modeling</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400"/>
        <w:gridCol w:w="5106"/>
        <w:gridCol w:w="1600"/>
        <w:gridCol w:w="1600"/>
      </w:tblGrid>
      <w:tr>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GAP-09</w:t>
            </w:r>
          </w:p>
        </w:tc>
        <w:tc>
          <w:tcPr>
            <w:tcW w:type="dxa" w:w="510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Automotive Ethernet / DoIP</w:t>
            </w:r>
          </w:p>
        </w:tc>
        <w:tc>
          <w:tcPr>
            <w:tcW w:type="dxa" w:w="1600"/>
            <w:tcBorders>
              <w:top w:val="single" w:color="F9A825" w:sz="1"/>
              <w:left w:val="single" w:color="F9A825" w:sz="1"/>
              <w:bottom w:val="single" w:color="F9A825" w:sz="1"/>
              <w:right w:val="single" w:color="F9A825" w:sz="1"/>
            </w:tcBorders>
            <w:shd w:fill="FFFDE7" w:val="clear"/>
            <w:tcMar>
              <w:top w:type="dxa" w:w="80"/>
              <w:left w:type="dxa" w:w="120"/>
              <w:bottom w:type="dxa" w:w="80"/>
              <w:right w:type="dxa" w:w="120"/>
            </w:tcMar>
            <w:vAlign w:val="top"/>
          </w:tcPr>
          <w:p>
            <w:pPr>
              <w:jc w:val="center"/>
            </w:pPr>
            <w:r>
              <w:rPr>
                <w:rFonts w:ascii="Arial" w:cs="Arial" w:eastAsia="Arial" w:hAnsi="Arial"/>
                <w:b/>
                <w:bCs/>
                <w:i w:val="false"/>
                <w:iCs w:val="false"/>
                <w:color w:val="F9A825"/>
                <w:sz w:val="18"/>
                <w:szCs w:val="18"/>
              </w:rPr>
              <w:t xml:space="preserve">P3 — Medium</w:t>
            </w:r>
          </w:p>
        </w:tc>
        <w:tc>
          <w:tcPr>
            <w:tcW w:type="dxa" w:w="1600"/>
            <w:tcBorders>
              <w:top w:val="single" w:color="1E3A5F" w:sz="1"/>
              <w:left w:val="single" w:color="1E3A5F" w:sz="1"/>
              <w:bottom w:val="single" w:color="1E3A5F" w:sz="1"/>
              <w:right w:val="single" w:color="1E3A5F" w:sz="1"/>
            </w:tcBorders>
            <w:shd w:fill="FFFDE7" w:val="clear"/>
            <w:tcMar>
              <w:top w:type="dxa" w:w="80"/>
              <w:left w:type="dxa" w:w="120"/>
              <w:bottom w:type="dxa" w:w="80"/>
              <w:right w:type="dxa" w:w="120"/>
            </w:tcMar>
            <w:vAlign w:val="top"/>
          </w:tcPr>
          <w:p>
            <w:pPr>
              <w:jc w:val="center"/>
            </w:pPr>
            <w:r>
              <w:rPr>
                <w:rFonts w:ascii="Arial" w:cs="Arial" w:eastAsia="Arial" w:hAnsi="Arial"/>
                <w:b/>
                <w:bCs/>
                <w:i w:val="false"/>
                <w:iCs w:val="false"/>
                <w:color w:val="7B5800"/>
                <w:sz w:val="18"/>
                <w:szCs w:val="18"/>
              </w:rPr>
              <w:t xml:space="preserve">Planned</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600"/>
        <w:gridCol w:w="8106"/>
      </w:tblGrid>
      <w:tr>
        <w:tc>
          <w:tcPr>
            <w:tcW w:type="dxa" w:w="1600"/>
            <w:tcBorders>
              <w:top w:val="single" w:color="2E6DAD" w:sz="1"/>
              <w:left w:val="single" w:color="2E6DAD" w:sz="1"/>
              <w:bottom w:val="single" w:color="2E6DAD" w:sz="1"/>
              <w:right w:val="single" w:color="2E6DAD" w:sz="1"/>
            </w:tcBorders>
            <w:shd w:fill="2E6DAD"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Layer</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L6 — HIL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Problem</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No 100BASE-T1 PHY interface in current BOM. DoIP diagnostic sessions (over Ethernet) are not possible. Next-generation gateway and ADAS ECUs increasingly use Ethernet as primary backbone.</w:t>
            </w:r>
          </w:p>
        </w:tc>
      </w:tr>
      <w:tr>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jc w:val="left"/>
            </w:pPr>
            <w:r>
              <w:rPr>
                <w:rFonts w:ascii="Arial" w:cs="Arial" w:eastAsia="Arial" w:hAnsi="Arial"/>
                <w:b/>
                <w:bCs/>
                <w:i w:val="false"/>
                <w:iCs w:val="false"/>
                <w:color w:val="B71C1C"/>
                <w:sz w:val="20"/>
                <w:szCs w:val="20"/>
              </w:rPr>
              <w:t xml:space="preserve">Impact</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Cannot test DoIP UDS sessions. Gateway ECUs routing CAN-to-Ethernet are partially testable only. Growing blind spot as industry moves toward zonal Ethernet architectures.</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20"/>
                <w:szCs w:val="20"/>
              </w:rPr>
              <w:t xml:space="preserve">Fix</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Add RPi CM4 + Waveshare carrier + NXP TJA1101 100BASE-T1 PHY board (~€215 from existing BOM). Configure Open-AVB / gPTP for time sync. Use python-doip for diagnostic sessions.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Tools</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11111"/>
                <w:sz w:val="19"/>
                <w:szCs w:val="19"/>
              </w:rPr>
              <w:t xml:space="preserve">RPi CM4, TJA1101 PHY eval board, python-doip, python-udsoncan over DoIP</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Effort</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2–3 weeks hardware + software  |  Reusable: Yes — DoIP fixture reused for gateway / ADAS ECU projects</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p>
      <w:r>
        <w:br w:type="pag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400"/>
        <w:gridCol w:w="5106"/>
        <w:gridCol w:w="1600"/>
        <w:gridCol w:w="1600"/>
      </w:tblGrid>
      <w:tr>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GAP-10</w:t>
            </w:r>
          </w:p>
        </w:tc>
        <w:tc>
          <w:tcPr>
            <w:tcW w:type="dxa" w:w="510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MC/DC Coverage for ASIL D</w:t>
            </w:r>
          </w:p>
        </w:tc>
        <w:tc>
          <w:tcPr>
            <w:tcW w:type="dxa" w:w="1600"/>
            <w:tcBorders>
              <w:top w:val="single" w:color="F9A825" w:sz="1"/>
              <w:left w:val="single" w:color="F9A825" w:sz="1"/>
              <w:bottom w:val="single" w:color="F9A825" w:sz="1"/>
              <w:right w:val="single" w:color="F9A825" w:sz="1"/>
            </w:tcBorders>
            <w:shd w:fill="FFFDE7" w:val="clear"/>
            <w:tcMar>
              <w:top w:type="dxa" w:w="80"/>
              <w:left w:type="dxa" w:w="120"/>
              <w:bottom w:type="dxa" w:w="80"/>
              <w:right w:type="dxa" w:w="120"/>
            </w:tcMar>
            <w:vAlign w:val="top"/>
          </w:tcPr>
          <w:p>
            <w:pPr>
              <w:jc w:val="center"/>
            </w:pPr>
            <w:r>
              <w:rPr>
                <w:rFonts w:ascii="Arial" w:cs="Arial" w:eastAsia="Arial" w:hAnsi="Arial"/>
                <w:b/>
                <w:bCs/>
                <w:i w:val="false"/>
                <w:iCs w:val="false"/>
                <w:color w:val="F9A825"/>
                <w:sz w:val="18"/>
                <w:szCs w:val="18"/>
              </w:rPr>
              <w:t xml:space="preserve">P3 — Medium</w:t>
            </w:r>
          </w:p>
        </w:tc>
        <w:tc>
          <w:tcPr>
            <w:tcW w:type="dxa" w:w="1600"/>
            <w:tcBorders>
              <w:top w:val="single" w:color="1E3A5F" w:sz="1"/>
              <w:left w:val="single" w:color="1E3A5F" w:sz="1"/>
              <w:bottom w:val="single" w:color="1E3A5F" w:sz="1"/>
              <w:right w:val="single" w:color="1E3A5F" w:sz="1"/>
            </w:tcBorders>
            <w:shd w:fill="FFFDE7" w:val="clear"/>
            <w:tcMar>
              <w:top w:type="dxa" w:w="80"/>
              <w:left w:type="dxa" w:w="120"/>
              <w:bottom w:type="dxa" w:w="80"/>
              <w:right w:type="dxa" w:w="120"/>
            </w:tcMar>
            <w:vAlign w:val="top"/>
          </w:tcPr>
          <w:p>
            <w:pPr>
              <w:jc w:val="center"/>
            </w:pPr>
            <w:r>
              <w:rPr>
                <w:rFonts w:ascii="Arial" w:cs="Arial" w:eastAsia="Arial" w:hAnsi="Arial"/>
                <w:b/>
                <w:bCs/>
                <w:i w:val="false"/>
                <w:iCs w:val="false"/>
                <w:color w:val="7B5800"/>
                <w:sz w:val="18"/>
                <w:szCs w:val="18"/>
              </w:rPr>
              <w:t xml:space="preserve">Planned</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600"/>
        <w:gridCol w:w="8106"/>
      </w:tblGrid>
      <w:tr>
        <w:tc>
          <w:tcPr>
            <w:tcW w:type="dxa" w:w="1600"/>
            <w:tcBorders>
              <w:top w:val="single" w:color="2E6DAD" w:sz="1"/>
              <w:left w:val="single" w:color="2E6DAD" w:sz="1"/>
              <w:bottom w:val="single" w:color="2E6DAD" w:sz="1"/>
              <w:right w:val="single" w:color="2E6DAD" w:sz="1"/>
            </w:tcBorders>
            <w:shd w:fill="2E6DAD"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Layer</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CI / Quality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Problem</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gcov provides statement and branch coverage. ASIL D requires MC/DC (Modified Condition/Decision Coverage). Standard gcov does not measure MC/DC. No MC/DC report is currently generated.</w:t>
            </w:r>
          </w:p>
        </w:tc>
      </w:tr>
      <w:tr>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jc w:val="left"/>
            </w:pPr>
            <w:r>
              <w:rPr>
                <w:rFonts w:ascii="Arial" w:cs="Arial" w:eastAsia="Arial" w:hAnsi="Arial"/>
                <w:b/>
                <w:bCs/>
                <w:i w:val="false"/>
                <w:iCs w:val="false"/>
                <w:color w:val="B71C1C"/>
                <w:sz w:val="20"/>
                <w:szCs w:val="20"/>
              </w:rPr>
              <w:t xml:space="preserve">Impact</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Cannot produce ISO 26262 Part 6 structural coverage evidence for ASIL D. MC/DC is mandatory for software unit testing at ASIL D — this is a compliance gap.</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20"/>
                <w:szCs w:val="20"/>
              </w:rPr>
              <w:t xml:space="preserve">Fix</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Evaluate LLVM source-based coverage (llvm-cov) which reports MC/DC natively since LLVM 17. Alternatively, use gcovr with MC/DC plugin. Add MC/DC report to CI artifacts and SonarQube.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Tools</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11111"/>
                <w:sz w:val="19"/>
                <w:szCs w:val="19"/>
              </w:rPr>
              <w:t xml:space="preserve">LLVM 17+ / clang, llvm-cov, gcovr, or commercial PC-lint Plus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Effort</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1–2 weeks  |  Reusable: Yes — same coverage pipeline for all ASIL C/D projects</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400"/>
        <w:gridCol w:w="5106"/>
        <w:gridCol w:w="1600"/>
        <w:gridCol w:w="1600"/>
      </w:tblGrid>
      <w:tr>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GAP-11</w:t>
            </w:r>
          </w:p>
        </w:tc>
        <w:tc>
          <w:tcPr>
            <w:tcW w:type="dxa" w:w="510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A2L / DCM Calibration File Generation</w:t>
            </w:r>
          </w:p>
        </w:tc>
        <w:tc>
          <w:tcPr>
            <w:tcW w:type="dxa" w:w="1600"/>
            <w:tcBorders>
              <w:top w:val="single" w:color="2E7D32" w:sz="1"/>
              <w:left w:val="single" w:color="2E7D32" w:sz="1"/>
              <w:bottom w:val="single" w:color="2E7D32" w:sz="1"/>
              <w:right w:val="single" w:color="2E7D32" w:sz="1"/>
            </w:tcBorders>
            <w:shd w:fill="E8F5E9" w:val="clear"/>
            <w:tcMar>
              <w:top w:type="dxa" w:w="80"/>
              <w:left w:type="dxa" w:w="120"/>
              <w:bottom w:type="dxa" w:w="80"/>
              <w:right w:type="dxa" w:w="120"/>
            </w:tcMar>
            <w:vAlign w:val="top"/>
          </w:tcPr>
          <w:p>
            <w:pPr>
              <w:jc w:val="center"/>
            </w:pPr>
            <w:r>
              <w:rPr>
                <w:rFonts w:ascii="Arial" w:cs="Arial" w:eastAsia="Arial" w:hAnsi="Arial"/>
                <w:b/>
                <w:bCs/>
                <w:i w:val="false"/>
                <w:iCs w:val="false"/>
                <w:color w:val="2E7D32"/>
                <w:sz w:val="18"/>
                <w:szCs w:val="18"/>
              </w:rPr>
              <w:t xml:space="preserve">P4 — Low</w:t>
            </w:r>
          </w:p>
        </w:tc>
        <w:tc>
          <w:tcPr>
            <w:tcW w:type="dxa" w:w="1600"/>
            <w:tcBorders>
              <w:top w:val="single" w:color="1E3A5F" w:sz="1"/>
              <w:left w:val="single" w:color="1E3A5F" w:sz="1"/>
              <w:bottom w:val="single" w:color="1E3A5F" w:sz="1"/>
              <w:right w:val="single" w:color="1E3A5F" w:sz="1"/>
            </w:tcBorders>
            <w:shd w:fill="FFFDE7" w:val="clear"/>
            <w:tcMar>
              <w:top w:type="dxa" w:w="80"/>
              <w:left w:type="dxa" w:w="120"/>
              <w:bottom w:type="dxa" w:w="80"/>
              <w:right w:type="dxa" w:w="120"/>
            </w:tcMar>
            <w:vAlign w:val="top"/>
          </w:tcPr>
          <w:p>
            <w:pPr>
              <w:jc w:val="center"/>
            </w:pPr>
            <w:r>
              <w:rPr>
                <w:rFonts w:ascii="Arial" w:cs="Arial" w:eastAsia="Arial" w:hAnsi="Arial"/>
                <w:b/>
                <w:bCs/>
                <w:i w:val="false"/>
                <w:iCs w:val="false"/>
                <w:color w:val="7B5800"/>
                <w:sz w:val="18"/>
                <w:szCs w:val="18"/>
              </w:rPr>
              <w:t xml:space="preserve">Planned</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600"/>
        <w:gridCol w:w="8106"/>
      </w:tblGrid>
      <w:tr>
        <w:tc>
          <w:tcPr>
            <w:tcW w:type="dxa" w:w="1600"/>
            <w:tcBorders>
              <w:top w:val="single" w:color="2E6DAD" w:sz="1"/>
              <w:left w:val="single" w:color="2E6DAD" w:sz="1"/>
              <w:bottom w:val="single" w:color="2E6DAD" w:sz="1"/>
              <w:right w:val="single" w:color="2E6DAD" w:sz="1"/>
            </w:tcBorders>
            <w:shd w:fill="2E6DAD"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Layer</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L3 — BSW Codegen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Problem</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No A2L generator exists. Calibration parameters in source code have no machine-readable description file. Cannot connect INCA or CANape (or pyxcp) without an A2L.</w:t>
            </w:r>
          </w:p>
        </w:tc>
      </w:tr>
      <w:tr>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jc w:val="left"/>
            </w:pPr>
            <w:r>
              <w:rPr>
                <w:rFonts w:ascii="Arial" w:cs="Arial" w:eastAsia="Arial" w:hAnsi="Arial"/>
                <w:b/>
                <w:bCs/>
                <w:i w:val="false"/>
                <w:iCs w:val="false"/>
                <w:color w:val="B71C1C"/>
                <w:sz w:val="20"/>
                <w:szCs w:val="20"/>
              </w:rPr>
              <w:t xml:space="preserve">Impact</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Dependent on GAP-05 (XCP). Without A2L, XCP is limited to raw address access. Calibration engineers at OEM/Tier-1 expect A2L as a deliverable alongside the ECU binary.</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20"/>
                <w:szCs w:val="20"/>
              </w:rPr>
              <w:t xml:space="preserve">Fix</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Build A2L generator: parse ELF DWARF via pyelftools, extract __attribute__((section(".cal"))) tagged variables, generate ASAM MCD-2 MC compliant A2L using pya2ldb. Run as post-build CI step.</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Tools</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11111"/>
                <w:sz w:val="19"/>
                <w:szCs w:val="19"/>
              </w:rPr>
              <w:t xml:space="preserve">pyelftools, pya2ldb (christoph2), ARM GCC ELF output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Effort</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2–3 weeks (partly overlaps GAP-05)  |  Reusable: Yes — auto-generated per build, zero per-project effort after initial setup</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400"/>
        <w:gridCol w:w="5106"/>
        <w:gridCol w:w="1600"/>
        <w:gridCol w:w="1600"/>
      </w:tblGrid>
      <w:tr>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GAP-12</w:t>
            </w:r>
          </w:p>
        </w:tc>
        <w:tc>
          <w:tcPr>
            <w:tcW w:type="dxa" w:w="510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Public GitHub Repository + Demo Video</w:t>
            </w:r>
          </w:p>
        </w:tc>
        <w:tc>
          <w:tcPr>
            <w:tcW w:type="dxa" w:w="1600"/>
            <w:tcBorders>
              <w:top w:val="single" w:color="2E7D32" w:sz="1"/>
              <w:left w:val="single" w:color="2E7D32" w:sz="1"/>
              <w:bottom w:val="single" w:color="2E7D32" w:sz="1"/>
              <w:right w:val="single" w:color="2E7D32" w:sz="1"/>
            </w:tcBorders>
            <w:shd w:fill="E8F5E9" w:val="clear"/>
            <w:tcMar>
              <w:top w:type="dxa" w:w="80"/>
              <w:left w:type="dxa" w:w="120"/>
              <w:bottom w:type="dxa" w:w="80"/>
              <w:right w:type="dxa" w:w="120"/>
            </w:tcMar>
            <w:vAlign w:val="top"/>
          </w:tcPr>
          <w:p>
            <w:pPr>
              <w:jc w:val="center"/>
            </w:pPr>
            <w:r>
              <w:rPr>
                <w:rFonts w:ascii="Arial" w:cs="Arial" w:eastAsia="Arial" w:hAnsi="Arial"/>
                <w:b/>
                <w:bCs/>
                <w:i w:val="false"/>
                <w:iCs w:val="false"/>
                <w:color w:val="2E7D32"/>
                <w:sz w:val="18"/>
                <w:szCs w:val="18"/>
              </w:rPr>
              <w:t xml:space="preserve">P4 — Low</w:t>
            </w:r>
          </w:p>
        </w:tc>
        <w:tc>
          <w:tcPr>
            <w:tcW w:type="dxa" w:w="1600"/>
            <w:tcBorders>
              <w:top w:val="single" w:color="1E3A5F" w:sz="1"/>
              <w:left w:val="single" w:color="1E3A5F" w:sz="1"/>
              <w:bottom w:val="single" w:color="1E3A5F" w:sz="1"/>
              <w:right w:val="single" w:color="1E3A5F" w:sz="1"/>
            </w:tcBorders>
            <w:shd w:fill="FFFDE7" w:val="clear"/>
            <w:tcMar>
              <w:top w:type="dxa" w:w="80"/>
              <w:left w:type="dxa" w:w="120"/>
              <w:bottom w:type="dxa" w:w="80"/>
              <w:right w:type="dxa" w:w="120"/>
            </w:tcMar>
            <w:vAlign w:val="top"/>
          </w:tcPr>
          <w:p>
            <w:pPr>
              <w:jc w:val="center"/>
            </w:pPr>
            <w:r>
              <w:rPr>
                <w:rFonts w:ascii="Arial" w:cs="Arial" w:eastAsia="Arial" w:hAnsi="Arial"/>
                <w:b/>
                <w:bCs/>
                <w:i w:val="false"/>
                <w:iCs w:val="false"/>
                <w:color w:val="7B5800"/>
                <w:sz w:val="18"/>
                <w:szCs w:val="18"/>
              </w:rPr>
              <w:t xml:space="preserve">Planned</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600"/>
        <w:gridCol w:w="8106"/>
      </w:tblGrid>
      <w:tr>
        <w:tc>
          <w:tcPr>
            <w:tcW w:type="dxa" w:w="1600"/>
            <w:tcBorders>
              <w:top w:val="single" w:color="2E6DAD" w:sz="1"/>
              <w:left w:val="single" w:color="2E6DAD" w:sz="1"/>
              <w:bottom w:val="single" w:color="2E6DAD" w:sz="1"/>
              <w:right w:val="single" w:color="2E6DAD" w:sz="1"/>
            </w:tcBorders>
            <w:shd w:fill="2E6DAD"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Layer</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Docs / Portfolio</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Problem</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The platform exists as a private repo. No public README, no architecture diagrams in the repo, no demo showing the 7-ECU mixed HIL in operation.</w:t>
            </w:r>
          </w:p>
        </w:tc>
      </w:tr>
      <w:tr>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jc w:val="left"/>
            </w:pPr>
            <w:r>
              <w:rPr>
                <w:rFonts w:ascii="Arial" w:cs="Arial" w:eastAsia="Arial" w:hAnsi="Arial"/>
                <w:b/>
                <w:bCs/>
                <w:i w:val="false"/>
                <w:iCs w:val="false"/>
                <w:color w:val="B71C1C"/>
                <w:sz w:val="20"/>
                <w:szCs w:val="20"/>
              </w:rPr>
              <w:t xml:space="preserve">Impact</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Portfolio value is zero externally. Hiring managers and potential customers cannot evaluate the work without a live demo or public artifacts.</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20"/>
                <w:szCs w:val="20"/>
              </w:rPr>
              <w:t xml:space="preserve">Fix</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20"/>
                <w:szCs w:val="20"/>
              </w:rPr>
              <w:t xml:space="preserve">Create public github.com/taktflow repo with: README covering pipeline, architecture SVG diagram, 3-min demo video (candump + fault injection + pytest report), and sanitized golden reference outputs.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Tools</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11111"/>
                <w:sz w:val="19"/>
                <w:szCs w:val="19"/>
              </w:rPr>
              <w:t xml:space="preserve">GitHub, OBS Studio (recording), draw.io or Excalidraw (diagrams)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Effort</w:t>
            </w:r>
          </w:p>
        </w:tc>
        <w:tc>
          <w:tcPr>
            <w:tcW w:type="dxa" w:w="810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1 week  |  Reusable: N/A — one-time documentation effort</w:t>
            </w:r>
          </w:p>
        </w:tc>
      </w:tr>
    </w:tbl>
    <w:p>
      <w:pPr>
        <w:spacing w:before="60" w:after="60"/>
        <w:jc w:val="left"/>
      </w:pPr>
      <w:r>
        <w:rPr>
          <w:rFonts w:ascii="Arial" w:cs="Arial" w:eastAsia="Arial" w:hAnsi="Arial"/>
          <w:b w:val="false"/>
          <w:bCs w:val="false"/>
          <w:i w:val="false"/>
          <w:iCs w:val="false"/>
          <w:color w:val="111111"/>
          <w:sz w:val="8"/>
          <w:szCs w:val="8"/>
        </w:rPr>
        <w:t xml:space="preserve"/>
      </w:r>
    </w:p>
    <w:p>
      <w:r>
        <w:br w:type="page"/>
      </w:r>
    </w:p>
    <w:p>
      <w:pPr>
        <w:pStyle w:val="Heading1"/>
        <w:pBdr>
          <w:bottom w:val="single" w:color="1E3A5F" w:sz="8" w:space="4"/>
        </w:pBdr>
        <w:spacing w:before="320" w:after="140"/>
      </w:pPr>
      <w:r>
        <w:rPr>
          <w:rFonts w:ascii="Arial" w:cs="Arial" w:eastAsia="Arial" w:hAnsi="Arial"/>
          <w:b/>
          <w:bCs/>
          <w:color w:val="1E3A5F"/>
          <w:sz w:val="32"/>
          <w:szCs w:val="32"/>
        </w:rPr>
        <w:t xml:space="preserve">4. Closure Roadmap</w:t>
      </w:r>
    </w:p>
    <w:p>
      <w:pPr>
        <w:spacing w:before="60" w:after="60"/>
        <w:jc w:val="left"/>
      </w:pPr>
      <w:r>
        <w:rPr>
          <w:rFonts w:ascii="Arial" w:cs="Arial" w:eastAsia="Arial" w:hAnsi="Arial"/>
          <w:b w:val="false"/>
          <w:bCs w:val="false"/>
          <w:i w:val="false"/>
          <w:iCs w:val="false"/>
          <w:color w:val="111111"/>
          <w:sz w:val="22"/>
          <w:szCs w:val="22"/>
        </w:rPr>
        <w:t xml:space="preserve">Gaps are sequenced into four phases based on dependencies, priority, and effort. P1 gaps block downstream work and must be closed first. XCP (GAP-05) is deliberately deferred to Phase 3 because it is a standalone module that does not block other gaps, and its reusability value compounds after the rest of the platform is stable.</w:t>
      </w:r>
    </w:p>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800"/>
        <w:gridCol w:w="4706"/>
        <w:gridCol w:w="3200"/>
      </w:tblGrid>
      <w:t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6"/>
                <w:szCs w:val="26"/>
              </w:rPr>
              <w:t xml:space="preserve">Phase 1</w:t>
            </w:r>
          </w:p>
        </w:tc>
        <w:tc>
          <w:tcPr>
            <w:tcW w:type="dxa" w:w="470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A8C8F0"/>
                <w:sz w:val="22"/>
                <w:szCs w:val="22"/>
              </w:rPr>
              <w:t xml:space="preserve">Foundation Closed</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right"/>
            </w:pPr>
            <w:r>
              <w:rPr>
                <w:rFonts w:ascii="Arial" w:cs="Arial" w:eastAsia="Arial" w:hAnsi="Arial"/>
                <w:b w:val="false"/>
                <w:bCs w:val="false"/>
                <w:i/>
                <w:iCs/>
                <w:color w:val="FFFFFF"/>
                <w:sz w:val="20"/>
                <w:szCs w:val="20"/>
              </w:rPr>
              <w:t xml:space="preserve">Now — 4 weeks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Gaps</w:t>
            </w:r>
          </w:p>
        </w:tc>
        <w:tc>
          <w:tcPr>
            <w:tcW w:type="dxa" w:w="4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0"/>
                <w:szCs w:val="20"/>
              </w:rPr>
              <w:t xml:space="preserve">GAP-01 — ReqIF requirements layer</w:t>
            </w:r>
          </w:p>
          <w:p>
            <w:pPr>
              <w:pStyle w:val="ListParagraph"/>
              <w:numPr>
                <w:ilvl w:val="0"/>
                <w:numId w:val="2"/>
              </w:numPr>
              <w:spacing w:before="30" w:after="30"/>
            </w:pPr>
            <w:r>
              <w:rPr>
                <w:rFonts w:ascii="Arial" w:cs="Arial" w:eastAsia="Arial" w:hAnsi="Arial"/>
                <w:sz w:val="20"/>
                <w:szCs w:val="20"/>
              </w:rPr>
              <w:t xml:space="preserve">GAP-02 — ARXML XSD CI gate (hard gate)</w:t>
            </w:r>
          </w:p>
          <w:p>
            <w:pPr>
              <w:pStyle w:val="ListParagraph"/>
              <w:numPr>
                <w:ilvl w:val="0"/>
                <w:numId w:val="2"/>
              </w:numPr>
              <w:spacing w:before="30" w:after="30"/>
            </w:pPr>
            <w:r>
              <w:rPr>
                <w:rFonts w:ascii="Arial" w:cs="Arial" w:eastAsia="Arial" w:hAnsi="Arial"/>
                <w:sz w:val="20"/>
                <w:szCs w:val="20"/>
              </w:rPr>
              <w:t xml:space="preserve">GAP-03 — PIL transport adapter</w:t>
            </w:r>
          </w:p>
        </w:tc>
        <w:tc>
          <w:tcPr>
            <w:tcW w:type="dxa" w:w="3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before="60" w:after="40"/>
              <w:jc w:val="left"/>
            </w:pPr>
            <w:r>
              <w:rPr>
                <w:rFonts w:ascii="Arial" w:cs="Arial" w:eastAsia="Arial" w:hAnsi="Arial"/>
                <w:b/>
                <w:bCs/>
                <w:i w:val="false"/>
                <w:iCs w:val="false"/>
                <w:color w:val="1E3A5F"/>
                <w:sz w:val="19"/>
                <w:szCs w:val="19"/>
              </w:rPr>
              <w:t xml:space="preserve">Outcome</w:t>
            </w:r>
          </w:p>
          <w:p>
            <w:pPr>
              <w:spacing w:before="60" w:after="60"/>
              <w:jc w:val="left"/>
            </w:pPr>
            <w:r>
              <w:rPr>
                <w:rFonts w:ascii="Arial" w:cs="Arial" w:eastAsia="Arial" w:hAnsi="Arial"/>
                <w:b w:val="false"/>
                <w:bCs w:val="false"/>
                <w:i/>
                <w:iCs/>
                <w:color w:val="111111"/>
                <w:sz w:val="19"/>
                <w:szCs w:val="19"/>
              </w:rPr>
              <w:t xml:space="preserve">Full SIL → PIL → HIL pipeline with traceability. ARXML compliance guaranteed per commit. ISO 26262 evidence chain structurally complete.</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800"/>
        <w:gridCol w:w="4706"/>
        <w:gridCol w:w="3200"/>
      </w:tblGrid>
      <w:t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6"/>
                <w:szCs w:val="26"/>
              </w:rPr>
              <w:t xml:space="preserve">Phase 2</w:t>
            </w:r>
          </w:p>
        </w:tc>
        <w:tc>
          <w:tcPr>
            <w:tcW w:type="dxa" w:w="470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A8C8F0"/>
                <w:sz w:val="22"/>
                <w:szCs w:val="22"/>
              </w:rPr>
              <w:t xml:space="preserve">Quality &amp; Observability</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right"/>
            </w:pPr>
            <w:r>
              <w:rPr>
                <w:rFonts w:ascii="Arial" w:cs="Arial" w:eastAsia="Arial" w:hAnsi="Arial"/>
                <w:b w:val="false"/>
                <w:bCs w:val="false"/>
                <w:i/>
                <w:iCs/>
                <w:color w:val="FFFFFF"/>
                <w:sz w:val="20"/>
                <w:szCs w:val="20"/>
              </w:rPr>
              <w:t xml:space="preserve">4 — 10 weeks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Gaps</w:t>
            </w:r>
          </w:p>
        </w:tc>
        <w:tc>
          <w:tcPr>
            <w:tcW w:type="dxa" w:w="4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0"/>
                <w:szCs w:val="20"/>
              </w:rPr>
              <w:t xml:space="preserve">GAP-04 — Os/NvM/WdgM BSW generators</w:t>
            </w:r>
          </w:p>
          <w:p>
            <w:pPr>
              <w:pStyle w:val="ListParagraph"/>
              <w:numPr>
                <w:ilvl w:val="0"/>
                <w:numId w:val="2"/>
              </w:numPr>
              <w:spacing w:before="30" w:after="30"/>
            </w:pPr>
            <w:r>
              <w:rPr>
                <w:rFonts w:ascii="Arial" w:cs="Arial" w:eastAsia="Arial" w:hAnsi="Arial"/>
                <w:sz w:val="20"/>
                <w:szCs w:val="20"/>
              </w:rPr>
              <w:t xml:space="preserve">GAP-06 — SonarCloud dashboard</w:t>
            </w:r>
          </w:p>
          <w:p>
            <w:pPr>
              <w:pStyle w:val="ListParagraph"/>
              <w:numPr>
                <w:ilvl w:val="0"/>
                <w:numId w:val="2"/>
              </w:numPr>
              <w:spacing w:before="30" w:after="30"/>
            </w:pPr>
            <w:r>
              <w:rPr>
                <w:rFonts w:ascii="Arial" w:cs="Arial" w:eastAsia="Arial" w:hAnsi="Arial"/>
                <w:sz w:val="20"/>
                <w:szCs w:val="20"/>
              </w:rPr>
              <w:t xml:space="preserve">GAP-07 — LIN restbus</w:t>
            </w:r>
          </w:p>
          <w:p>
            <w:pPr>
              <w:pStyle w:val="ListParagraph"/>
              <w:numPr>
                <w:ilvl w:val="0"/>
                <w:numId w:val="2"/>
              </w:numPr>
              <w:spacing w:before="30" w:after="30"/>
            </w:pPr>
            <w:r>
              <w:rPr>
                <w:rFonts w:ascii="Arial" w:cs="Arial" w:eastAsia="Arial" w:hAnsi="Arial"/>
                <w:sz w:val="20"/>
                <w:szCs w:val="20"/>
              </w:rPr>
              <w:t xml:space="preserve">GAP-10 — MC/DC coverage</w:t>
            </w:r>
          </w:p>
        </w:tc>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before="60" w:after="40"/>
              <w:jc w:val="left"/>
            </w:pPr>
            <w:r>
              <w:rPr>
                <w:rFonts w:ascii="Arial" w:cs="Arial" w:eastAsia="Arial" w:hAnsi="Arial"/>
                <w:b/>
                <w:bCs/>
                <w:i w:val="false"/>
                <w:iCs w:val="false"/>
                <w:color w:val="1E3A5F"/>
                <w:sz w:val="19"/>
                <w:szCs w:val="19"/>
              </w:rPr>
              <w:t xml:space="preserve">Outcome</w:t>
            </w:r>
          </w:p>
          <w:p>
            <w:pPr>
              <w:spacing w:before="60" w:after="60"/>
              <w:jc w:val="left"/>
            </w:pPr>
            <w:r>
              <w:rPr>
                <w:rFonts w:ascii="Arial" w:cs="Arial" w:eastAsia="Arial" w:hAnsi="Arial"/>
                <w:b w:val="false"/>
                <w:bCs w:val="false"/>
                <w:i/>
                <w:iCs/>
                <w:color w:val="111111"/>
                <w:sz w:val="19"/>
                <w:szCs w:val="19"/>
              </w:rPr>
              <w:t xml:space="preserve">Complete AUTOSAR BSW codegen. Quality dashboard live. LIN-capable ECUs testable. ASIL D structural coverage evidence available.</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800"/>
        <w:gridCol w:w="4706"/>
        <w:gridCol w:w="3200"/>
      </w:tblGrid>
      <w:t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6"/>
                <w:szCs w:val="26"/>
              </w:rPr>
              <w:t xml:space="preserve">Phase 3</w:t>
            </w:r>
          </w:p>
        </w:tc>
        <w:tc>
          <w:tcPr>
            <w:tcW w:type="dxa" w:w="470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A8C8F0"/>
                <w:sz w:val="22"/>
                <w:szCs w:val="22"/>
              </w:rPr>
              <w:t xml:space="preserve">Calibration &amp; Observability</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right"/>
            </w:pPr>
            <w:r>
              <w:rPr>
                <w:rFonts w:ascii="Arial" w:cs="Arial" w:eastAsia="Arial" w:hAnsi="Arial"/>
                <w:b w:val="false"/>
                <w:bCs w:val="false"/>
                <w:i/>
                <w:iCs/>
                <w:color w:val="FFFFFF"/>
                <w:sz w:val="20"/>
                <w:szCs w:val="20"/>
              </w:rPr>
              <w:t xml:space="preserve">10 — 17 weeks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Gaps</w:t>
            </w:r>
          </w:p>
        </w:tc>
        <w:tc>
          <w:tcPr>
            <w:tcW w:type="dxa" w:w="4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0"/>
                <w:szCs w:val="20"/>
              </w:rPr>
              <w:t xml:space="preserve">GAP-05 — XCP slave + master + pyxcp fixture</w:t>
            </w:r>
          </w:p>
          <w:p>
            <w:pPr>
              <w:pStyle w:val="ListParagraph"/>
              <w:numPr>
                <w:ilvl w:val="0"/>
                <w:numId w:val="2"/>
              </w:numPr>
              <w:spacing w:before="30" w:after="30"/>
            </w:pPr>
            <w:r>
              <w:rPr>
                <w:rFonts w:ascii="Arial" w:cs="Arial" w:eastAsia="Arial" w:hAnsi="Arial"/>
                <w:sz w:val="20"/>
                <w:szCs w:val="20"/>
              </w:rPr>
              <w:t xml:space="preserve">GAP-11 — A2L generator from ELF</w:t>
            </w:r>
          </w:p>
        </w:tc>
        <w:tc>
          <w:tcPr>
            <w:tcW w:type="dxa" w:w="3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before="60" w:after="40"/>
              <w:jc w:val="left"/>
            </w:pPr>
            <w:r>
              <w:rPr>
                <w:rFonts w:ascii="Arial" w:cs="Arial" w:eastAsia="Arial" w:hAnsi="Arial"/>
                <w:b/>
                <w:bCs/>
                <w:i w:val="false"/>
                <w:iCs w:val="false"/>
                <w:color w:val="1E3A5F"/>
                <w:sz w:val="19"/>
                <w:szCs w:val="19"/>
              </w:rPr>
              <w:t xml:space="preserve">Outcome</w:t>
            </w:r>
          </w:p>
          <w:p>
            <w:pPr>
              <w:spacing w:before="60" w:after="60"/>
              <w:jc w:val="left"/>
            </w:pPr>
            <w:r>
              <w:rPr>
                <w:rFonts w:ascii="Arial" w:cs="Arial" w:eastAsia="Arial" w:hAnsi="Arial"/>
                <w:b w:val="false"/>
                <w:bCs w:val="false"/>
                <w:i/>
                <w:iCs/>
                <w:color w:val="111111"/>
                <w:sz w:val="19"/>
                <w:szCs w:val="19"/>
              </w:rPr>
              <w:t xml:space="preserve">Internal ECU state visible during test. Calibration parameters writable at runtime from pytest. Closes the last major gap vs CANape for development workflows.</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800"/>
        <w:gridCol w:w="4706"/>
        <w:gridCol w:w="3200"/>
      </w:tblGrid>
      <w:t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6"/>
                <w:szCs w:val="26"/>
              </w:rPr>
              <w:t xml:space="preserve">Phase 4</w:t>
            </w:r>
          </w:p>
        </w:tc>
        <w:tc>
          <w:tcPr>
            <w:tcW w:type="dxa" w:w="470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A8C8F0"/>
                <w:sz w:val="22"/>
                <w:szCs w:val="22"/>
              </w:rPr>
              <w:t xml:space="preserve">Platform Expansion</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right"/>
            </w:pPr>
            <w:r>
              <w:rPr>
                <w:rFonts w:ascii="Arial" w:cs="Arial" w:eastAsia="Arial" w:hAnsi="Arial"/>
                <w:b w:val="false"/>
                <w:bCs w:val="false"/>
                <w:i/>
                <w:iCs/>
                <w:color w:val="FFFFFF"/>
                <w:sz w:val="20"/>
                <w:szCs w:val="20"/>
              </w:rPr>
              <w:t xml:space="preserve">17 — 24 weeks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Gaps</w:t>
            </w:r>
          </w:p>
        </w:tc>
        <w:tc>
          <w:tcPr>
            <w:tcW w:type="dxa" w:w="4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20"/>
                <w:szCs w:val="20"/>
              </w:rPr>
              <w:t xml:space="preserve">GAP-08 — Capella MBSE system model</w:t>
            </w:r>
          </w:p>
          <w:p>
            <w:pPr>
              <w:pStyle w:val="ListParagraph"/>
              <w:numPr>
                <w:ilvl w:val="0"/>
                <w:numId w:val="2"/>
              </w:numPr>
              <w:spacing w:before="30" w:after="30"/>
            </w:pPr>
            <w:r>
              <w:rPr>
                <w:rFonts w:ascii="Arial" w:cs="Arial" w:eastAsia="Arial" w:hAnsi="Arial"/>
                <w:sz w:val="20"/>
                <w:szCs w:val="20"/>
              </w:rPr>
              <w:t xml:space="preserve">GAP-09 — Automotive Ethernet / DoIP</w:t>
            </w:r>
          </w:p>
          <w:p>
            <w:pPr>
              <w:pStyle w:val="ListParagraph"/>
              <w:numPr>
                <w:ilvl w:val="0"/>
                <w:numId w:val="2"/>
              </w:numPr>
              <w:spacing w:before="30" w:after="30"/>
            </w:pPr>
            <w:r>
              <w:rPr>
                <w:rFonts w:ascii="Arial" w:cs="Arial" w:eastAsia="Arial" w:hAnsi="Arial"/>
                <w:sz w:val="20"/>
                <w:szCs w:val="20"/>
              </w:rPr>
              <w:t xml:space="preserve">GAP-12 — Public repo + demo video</w:t>
            </w:r>
          </w:p>
        </w:tc>
        <w:tc>
          <w:tcPr>
            <w:tcW w:type="dxa" w:w="320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pPr>
              <w:spacing w:before="60" w:after="40"/>
              <w:jc w:val="left"/>
            </w:pPr>
            <w:r>
              <w:rPr>
                <w:rFonts w:ascii="Arial" w:cs="Arial" w:eastAsia="Arial" w:hAnsi="Arial"/>
                <w:b/>
                <w:bCs/>
                <w:i w:val="false"/>
                <w:iCs w:val="false"/>
                <w:color w:val="1E3A5F"/>
                <w:sz w:val="19"/>
                <w:szCs w:val="19"/>
              </w:rPr>
              <w:t xml:space="preserve">Outcome</w:t>
            </w:r>
          </w:p>
          <w:p>
            <w:pPr>
              <w:spacing w:before="60" w:after="60"/>
              <w:jc w:val="left"/>
            </w:pPr>
            <w:r>
              <w:rPr>
                <w:rFonts w:ascii="Arial" w:cs="Arial" w:eastAsia="Arial" w:hAnsi="Arial"/>
                <w:b w:val="false"/>
                <w:bCs w:val="false"/>
                <w:i/>
                <w:iCs/>
                <w:color w:val="111111"/>
                <w:sz w:val="19"/>
                <w:szCs w:val="19"/>
              </w:rPr>
              <w:t xml:space="preserve">Full system model in Capella. Ethernet ECUs testable. Platform publicly demonstrable as open-source SDV reference architecture.</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p>
      <w:r>
        <w:br w:type="page"/>
      </w:r>
    </w:p>
    <w:p>
      <w:pPr>
        <w:pStyle w:val="Heading1"/>
        <w:pBdr>
          <w:bottom w:val="single" w:color="1E3A5F" w:sz="8" w:space="4"/>
        </w:pBdr>
        <w:spacing w:before="320" w:after="140"/>
      </w:pPr>
      <w:r>
        <w:rPr>
          <w:rFonts w:ascii="Arial" w:cs="Arial" w:eastAsia="Arial" w:hAnsi="Arial"/>
          <w:b/>
          <w:bCs/>
          <w:color w:val="1E3A5F"/>
          <w:sz w:val="32"/>
          <w:szCs w:val="32"/>
        </w:rPr>
        <w:t xml:space="preserve">5. Reusability Matrix</w:t>
      </w:r>
    </w:p>
    <w:p>
      <w:pPr>
        <w:spacing w:before="60" w:after="60"/>
        <w:jc w:val="left"/>
      </w:pPr>
      <w:r>
        <w:rPr>
          <w:rFonts w:ascii="Arial" w:cs="Arial" w:eastAsia="Arial" w:hAnsi="Arial"/>
          <w:b w:val="false"/>
          <w:bCs w:val="false"/>
          <w:i w:val="false"/>
          <w:iCs w:val="false"/>
          <w:color w:val="111111"/>
          <w:sz w:val="22"/>
          <w:szCs w:val="22"/>
        </w:rPr>
        <w:t xml:space="preserve">Every gap fix produces an artifact. This section maps which artifacts are reusable as platform modules across future ECU projects versus one-time investments.</w:t>
      </w:r>
    </w:p>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400"/>
        <w:gridCol w:w="1600"/>
        <w:gridCol w:w="2806"/>
      </w:tblGrid>
      <w:tr>
        <w:trPr>
          <w:tblHeader/>
        </w:trPr>
        <w:tc>
          <w:tcPr>
            <w:tcW w:type="dxa" w:w="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Gap</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Artifact Produced</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Reuse Mechanism</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Per-Project Cost</w:t>
            </w:r>
          </w:p>
        </w:tc>
        <w:tc>
          <w:tcPr>
            <w:tcW w:type="dxa" w:w="280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Compounds After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GAP-01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reqif/ template + traceability scripts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Copy template, populate req IDs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1–2 days</w:t>
            </w:r>
          </w:p>
        </w:tc>
        <w:tc>
          <w:tcPr>
            <w:tcW w:type="dxa" w:w="2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11111"/>
                <w:sz w:val="18"/>
                <w:szCs w:val="18"/>
              </w:rPr>
              <w:t xml:space="preserve">Project 2 onward</w:t>
            </w:r>
          </w:p>
        </w:tc>
      </w:tr>
      <w:tr>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GAP-02</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validate_arxml.py CI step</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Include in any ARXML-generating repo</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18"/>
                <w:szCs w:val="18"/>
              </w:rPr>
              <w:t xml:space="preserve">Zero</w:t>
            </w:r>
          </w:p>
        </w:tc>
        <w:tc>
          <w:tcPr>
            <w:tcW w:type="dxa" w:w="280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iCs/>
                <w:color w:val="111111"/>
                <w:sz w:val="18"/>
                <w:szCs w:val="18"/>
              </w:rPr>
              <w:t xml:space="preserve">Immediate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GAP-03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PIL transport conftest.py fixture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Import fixture, configure target</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18"/>
                <w:szCs w:val="18"/>
              </w:rPr>
              <w:t xml:space="preserve">Zero</w:t>
            </w:r>
          </w:p>
        </w:tc>
        <w:tc>
          <w:tcPr>
            <w:tcW w:type="dxa" w:w="2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11111"/>
                <w:sz w:val="18"/>
                <w:szCs w:val="18"/>
              </w:rPr>
              <w:t xml:space="preserve">Project 2 onward</w:t>
            </w:r>
          </w:p>
        </w:tc>
      </w:tr>
      <w:tr>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GAP-04</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Os/NvM/WdgM generator modules</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Add to arxmlgen, configure per schema</w:t>
            </w:r>
          </w:p>
        </w:tc>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&lt; 1 day</w:t>
            </w:r>
          </w:p>
        </w:tc>
        <w:tc>
          <w:tcPr>
            <w:tcW w:type="dxa" w:w="280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iCs/>
                <w:color w:val="111111"/>
                <w:sz w:val="18"/>
                <w:szCs w:val="18"/>
              </w:rPr>
              <w:t xml:space="preserve">Project 2 onward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GAP-05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XCPlite slave module + pyxcp fixture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Add slave to BSP, import fixture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2–3 days</w:t>
            </w:r>
          </w:p>
        </w:tc>
        <w:tc>
          <w:tcPr>
            <w:tcW w:type="dxa" w:w="2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11111"/>
                <w:sz w:val="18"/>
                <w:szCs w:val="18"/>
              </w:rPr>
              <w:t xml:space="preserve">Project 2 onward</w:t>
            </w:r>
          </w:p>
        </w:tc>
      </w:tr>
      <w:tr>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GAP-06</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sonar-project.properties template</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Copy + configure project key</w:t>
            </w:r>
          </w:p>
        </w:tc>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Half day</w:t>
            </w:r>
          </w:p>
        </w:tc>
        <w:tc>
          <w:tcPr>
            <w:tcW w:type="dxa" w:w="280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iCs/>
                <w:color w:val="111111"/>
                <w:sz w:val="18"/>
                <w:szCs w:val="18"/>
              </w:rPr>
              <w:t xml:space="preserve">Immediate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GAP-07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lin_restbus.py + STM32 LIN driver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Import script, load LDF schedule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1 day</w:t>
            </w:r>
          </w:p>
        </w:tc>
        <w:tc>
          <w:tcPr>
            <w:tcW w:type="dxa" w:w="2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11111"/>
                <w:sz w:val="18"/>
                <w:szCs w:val="18"/>
              </w:rPr>
              <w:t xml:space="preserve">Project 2 onward</w:t>
            </w:r>
          </w:p>
        </w:tc>
      </w:tr>
      <w:tr>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GAP-08</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Capella project template</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Copy template, populate topology</w:t>
            </w:r>
          </w:p>
        </w:tc>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1 week modeling</w:t>
            </w:r>
          </w:p>
        </w:tc>
        <w:tc>
          <w:tcPr>
            <w:tcW w:type="dxa" w:w="280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iCs/>
                <w:color w:val="111111"/>
                <w:sz w:val="18"/>
                <w:szCs w:val="18"/>
              </w:rPr>
              <w:t xml:space="preserve">Project 3 onward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GAP-09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DoIP pytest fixture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Import fixture, configure ECU IP</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18"/>
                <w:szCs w:val="18"/>
              </w:rPr>
              <w:t xml:space="preserve">Zero</w:t>
            </w:r>
          </w:p>
        </w:tc>
        <w:tc>
          <w:tcPr>
            <w:tcW w:type="dxa" w:w="2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11111"/>
                <w:sz w:val="18"/>
                <w:szCs w:val="18"/>
              </w:rPr>
              <w:t xml:space="preserve">Project 2 onward</w:t>
            </w:r>
          </w:p>
        </w:tc>
      </w:tr>
      <w:tr>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GAP-10</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LLVM MC/DC CI step</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Enable in CMakeLists.txt</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18"/>
                <w:szCs w:val="18"/>
              </w:rPr>
              <w:t xml:space="preserve">Zero</w:t>
            </w:r>
          </w:p>
        </w:tc>
        <w:tc>
          <w:tcPr>
            <w:tcW w:type="dxa" w:w="280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iCs/>
                <w:color w:val="111111"/>
                <w:sz w:val="18"/>
                <w:szCs w:val="18"/>
              </w:rPr>
              <w:t xml:space="preserve">Immediate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GAP-11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A2L generator (ELF → A2L)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Add post-build step to CMake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18"/>
                <w:szCs w:val="18"/>
              </w:rPr>
              <w:t xml:space="preserve">Zero</w:t>
            </w:r>
          </w:p>
        </w:tc>
        <w:tc>
          <w:tcPr>
            <w:tcW w:type="dxa" w:w="2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11111"/>
                <w:sz w:val="18"/>
                <w:szCs w:val="18"/>
              </w:rPr>
              <w:t xml:space="preserve">Immediate</w:t>
            </w:r>
          </w:p>
        </w:tc>
      </w:tr>
      <w:tr>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18"/>
                <w:szCs w:val="18"/>
              </w:rPr>
              <w:t xml:space="preserve">GAP-12</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README + demo template</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Clone and adapt for project</w:t>
            </w:r>
          </w:p>
        </w:tc>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8"/>
                <w:szCs w:val="18"/>
              </w:rPr>
              <w:t xml:space="preserve">Half day</w:t>
            </w:r>
          </w:p>
        </w:tc>
        <w:tc>
          <w:tcPr>
            <w:tcW w:type="dxa" w:w="280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iCs/>
                <w:color w:val="111111"/>
                <w:sz w:val="18"/>
                <w:szCs w:val="18"/>
              </w:rPr>
              <w:t xml:space="preserve">Project 2 onward</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E7D32" w:sz="1"/>
              <w:left w:val="single" w:color="2E7D32" w:sz="16"/>
              <w:bottom w:val="single" w:color="2E7D32" w:sz="1"/>
              <w:right w:val="single" w:color="2E7D32" w:sz="1"/>
            </w:tcBorders>
            <w:shd w:fill="E8F5E9" w:val="clear"/>
            <w:tcMar>
              <w:top w:type="dxa" w:w="120"/>
              <w:left w:type="dxa" w:w="200"/>
              <w:bottom w:type="dxa" w:w="120"/>
              <w:right w:type="dxa" w:w="200"/>
            </w:tcMar>
          </w:tcPr>
          <w:p>
            <w:pPr>
              <w:spacing w:before="60" w:after="60"/>
              <w:jc w:val="left"/>
            </w:pPr>
            <w:r>
              <w:rPr>
                <w:rFonts w:ascii="Arial" w:cs="Arial" w:eastAsia="Arial" w:hAnsi="Arial"/>
                <w:b w:val="false"/>
                <w:bCs w:val="false"/>
                <w:i/>
                <w:iCs/>
                <w:color w:val="111111"/>
                <w:sz w:val="20"/>
                <w:szCs w:val="20"/>
              </w:rPr>
              <w:t xml:space="preserve">The economic model: 24 weeks of investment on Project 1 reduces per-project setup cost to &lt; 1 week on every subsequent project. By Project 3 the platform is net-positive compared to purchasing and configuring commercial tooling per project.</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p>
      <w:r>
        <w:br w:type="page"/>
      </w:r>
    </w:p>
    <w:p>
      <w:pPr>
        <w:pStyle w:val="Heading1"/>
        <w:pBdr>
          <w:bottom w:val="single" w:color="1E3A5F" w:sz="8" w:space="4"/>
        </w:pBdr>
        <w:spacing w:before="320" w:after="140"/>
      </w:pPr>
      <w:r>
        <w:rPr>
          <w:rFonts w:ascii="Arial" w:cs="Arial" w:eastAsia="Arial" w:hAnsi="Arial"/>
          <w:b/>
          <w:bCs/>
          <w:color w:val="1E3A5F"/>
          <w:sz w:val="32"/>
          <w:szCs w:val="32"/>
        </w:rPr>
        <w:t xml:space="preserve">6. Gap Dependencies</w:t>
      </w:r>
    </w:p>
    <w:p>
      <w:pPr>
        <w:spacing w:before="60" w:after="60"/>
        <w:jc w:val="left"/>
      </w:pPr>
      <w:r>
        <w:rPr>
          <w:rFonts w:ascii="Arial" w:cs="Arial" w:eastAsia="Arial" w:hAnsi="Arial"/>
          <w:b w:val="false"/>
          <w:bCs w:val="false"/>
          <w:i w:val="false"/>
          <w:iCs w:val="false"/>
          <w:color w:val="111111"/>
          <w:sz w:val="22"/>
          <w:szCs w:val="22"/>
        </w:rPr>
        <w:t xml:space="preserve">Some gaps must be closed in order. The dependency chain below identifies which gaps block others.</w:t>
      </w:r>
    </w:p>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306"/>
      </w:tblGrid>
      <w:tr>
        <w:trPr>
          <w:tblHeader/>
        </w:trPr>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Gap</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Depends On</w:t>
            </w:r>
          </w:p>
        </w:tc>
        <w:tc>
          <w:tcPr>
            <w:tcW w:type="dxa" w:w="630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Reason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GAP-01</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19"/>
                <w:szCs w:val="19"/>
              </w:rPr>
              <w:t xml:space="preserve">Nothing</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Independent — can start immediately</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GAP-02</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19"/>
                <w:szCs w:val="19"/>
              </w:rPr>
              <w:t xml:space="preserve">Nothing</w:t>
            </w:r>
          </w:p>
        </w:tc>
        <w:tc>
          <w:tcPr>
            <w:tcW w:type="dxa" w:w="630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Independent — autosar-data already works in prototype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GAP-03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GAP-02</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PIL transport should run against schema-validated ARXML builds only</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GAP-04</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GAP-02, GAP-03</w:t>
            </w:r>
          </w:p>
        </w:tc>
        <w:tc>
          <w:tcPr>
            <w:tcW w:type="dxa" w:w="630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New generators must pass ARXML validation and be testable in PIL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GAP-05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GAP-03</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XCP pytest fixture uses PIL/HIL transport infrastructure</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GAP-06</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GAP-03</w:t>
            </w:r>
          </w:p>
        </w:tc>
        <w:tc>
          <w:tcPr>
            <w:tcW w:type="dxa" w:w="630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SonarQube needs SIL + PIL coverage data merged to be meaningful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GAP-07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GAP-03</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LIN restbus needs PIL/HIL transport to test against real ECU</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GAP-08</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bCs/>
                <w:i w:val="false"/>
                <w:iCs w:val="false"/>
                <w:color w:val="1B5E20"/>
                <w:sz w:val="19"/>
                <w:szCs w:val="19"/>
              </w:rPr>
              <w:t xml:space="preserve">Nothing</w:t>
            </w:r>
          </w:p>
        </w:tc>
        <w:tc>
          <w:tcPr>
            <w:tcW w:type="dxa" w:w="630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Independent — Capella modeling is offline, no code dependency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GAP-09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GAP-03</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DoIP fixture uses same HIL transport layer</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GAP-10</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GAP-02, GAP-03</w:t>
            </w:r>
          </w:p>
        </w:tc>
        <w:tc>
          <w:tcPr>
            <w:tcW w:type="dxa" w:w="630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MC/DC meaningful only when SIL + PIL both running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GAP-11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GAP-05</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A2L generator is part of XCP workflow — deploy together</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bCs/>
                <w:i w:val="false"/>
                <w:iCs w:val="false"/>
                <w:color w:val="111111"/>
                <w:sz w:val="20"/>
                <w:szCs w:val="20"/>
              </w:rPr>
              <w:t xml:space="preserve">GAP-12</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All others</w:t>
            </w:r>
          </w:p>
        </w:tc>
        <w:tc>
          <w:tcPr>
            <w:tcW w:type="dxa" w:w="630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11111"/>
                <w:sz w:val="19"/>
                <w:szCs w:val="19"/>
              </w:rPr>
              <w:t xml:space="preserve">Demo video needs working platform — document last</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center"/>
      </w:pPr>
      <w:r>
        <w:rPr>
          <w:rFonts w:ascii="Arial" w:cs="Arial" w:eastAsia="Arial" w:hAnsi="Arial"/>
          <w:b w:val="false"/>
          <w:bCs w:val="false"/>
          <w:i/>
          <w:iCs/>
          <w:color w:val="555555"/>
          <w:sz w:val="18"/>
          <w:szCs w:val="18"/>
        </w:rPr>
        <w:t xml:space="preserve">Document version 1.0  |  March 2026  |  Taktflow SDV Platform</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D" w:sz="4" w:space="4"/>
      </w:pBdr>
      <w:tabs>
        <w:tab w:val="right" w:pos="9026"/>
      </w:tabs>
      <w:spacing w:before="80"/>
    </w:pPr>
    <w:r>
      <w:rPr>
        <w:rFonts w:ascii="Arial" w:cs="Arial" w:eastAsia="Arial" w:hAnsi="Arial"/>
        <w:color w:val="555555"/>
        <w:sz w:val="18"/>
        <w:szCs w:val="18"/>
      </w:rPr>
      <w:t xml:space="preserve">Internal — Taktflow Engineering</w:t>
    </w:r>
    <w:r>
      <w:rPr>
        <w:rFonts w:ascii="Arial" w:cs="Arial" w:eastAsia="Arial" w:hAnsi="Arial"/>
        <w:color w:val="555555"/>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4"/>
      </w:pBdr>
      <w:spacing w:after="100"/>
    </w:pPr>
    <w:r>
      <w:rPr>
        <w:rFonts w:ascii="Arial" w:cs="Arial" w:eastAsia="Arial" w:hAnsi="Arial"/>
        <w:b/>
        <w:bCs/>
        <w:color w:val="1E3A5F"/>
        <w:sz w:val="20"/>
        <w:szCs w:val="20"/>
      </w:rPr>
      <w:t xml:space="preserve">Taktflow SDV Platform  |  Gap Filling Plan</w:t>
    </w:r>
    <w:r>
      <w:rPr>
        <w:rFonts w:ascii="Arial" w:cs="Arial" w:eastAsia="Arial" w:hAnsi="Arial"/>
        <w:color w:val="555555"/>
        <w:sz w:val="18"/>
        <w:szCs w:val="18"/>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6DAD"/>
      <w:sz w:val="26"/>
      <w:szCs w:val="26"/>
    </w:rPr>
  </w:style>
  <w:style w:type="paragraph" w:styleId="Heading3">
    <w:name w:val="Heading 3"/>
    <w:basedOn w:val="Normal"/>
    <w:next w:val="Normal"/>
    <w:qFormat/>
    <w:pPr>
      <w:spacing w:before="180" w:after="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2026-03-10T23:12:58.277Z</dcterms:created>
  <dcterms:modified xsi:type="dcterms:W3CDTF">2026-03-10T23:12:58.278Z</dcterms:modified>
</cp:coreProperties>
</file>

<file path=docProps/custom.xml><?xml version="1.0" encoding="utf-8"?>
<Properties xmlns="http://schemas.openxmlformats.org/officeDocument/2006/custom-properties" xmlns:vt="http://schemas.openxmlformats.org/officeDocument/2006/docPropsVTypes"/>
</file>