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3F7CACB7" w:rsidR="002C0808" w:rsidRDefault="002C0808" w:rsidP="00697584">
      <w:pPr>
        <w:widowControl/>
        <w:jc w:val="left"/>
        <w:rPr>
          <w:rFonts w:ascii="BIZ UDゴシック" w:eastAsia="BIZ UDゴシック" w:hAnsi="BIZ UDゴシック" w:cs="ＭＳ Ｐゴシック"/>
          <w:kern w:val="0"/>
          <w:sz w:val="24"/>
          <w:szCs w:val="24"/>
        </w:rPr>
      </w:pPr>
      <w:bookmarkStart w:id="0" w:name="_GoBack"/>
      <w:bookmarkEnd w:id="0"/>
      <w:r w:rsidRPr="002C0808">
        <w:rPr>
          <w:rFonts w:ascii="BIZ UDゴシック" w:eastAsia="BIZ UDゴシック" w:hAnsi="BIZ UDゴシック" w:cs="ＭＳ Ｐゴシック" w:hint="eastAsia"/>
          <w:kern w:val="0"/>
          <w:sz w:val="24"/>
          <w:szCs w:val="24"/>
        </w:rPr>
        <w:t>注記（</w:t>
      </w:r>
      <w:r w:rsidR="005269B5">
        <w:rPr>
          <w:rFonts w:ascii="BIZ UDゴシック" w:eastAsia="BIZ UDゴシック" w:hAnsi="BIZ UDゴシック" w:cs="ＭＳ Ｐゴシック" w:hint="eastAsia"/>
          <w:kern w:val="0"/>
          <w:sz w:val="24"/>
          <w:szCs w:val="24"/>
        </w:rPr>
        <w:t>全体</w:t>
      </w:r>
      <w:r w:rsidRPr="002C0808">
        <w:rPr>
          <w:rFonts w:ascii="BIZ UDゴシック" w:eastAsia="BIZ UDゴシック" w:hAnsi="BIZ UDゴシック" w:cs="ＭＳ Ｐゴシック" w:hint="eastAsia"/>
          <w:kern w:val="0"/>
          <w:sz w:val="24"/>
          <w:szCs w:val="24"/>
        </w:rPr>
        <w:t>会計）</w:t>
      </w:r>
    </w:p>
    <w:p w14:paraId="2CFAD0EF" w14:textId="77777777" w:rsidR="004432D7" w:rsidRPr="002C0808" w:rsidRDefault="004432D7" w:rsidP="00697584">
      <w:pPr>
        <w:widowControl/>
        <w:jc w:val="left"/>
        <w:rPr>
          <w:rFonts w:ascii="BIZ UDゴシック" w:eastAsia="BIZ UDゴシック" w:hAnsi="BIZ UDゴシック" w:cs="ＭＳ Ｐゴシック"/>
          <w:kern w:val="0"/>
          <w:sz w:val="24"/>
          <w:szCs w:val="24"/>
        </w:rPr>
      </w:pP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2E1B069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w:t>
      </w:r>
      <w:r w:rsidR="00341C69">
        <w:rPr>
          <w:rFonts w:ascii="BIZ UD明朝 Medium" w:eastAsia="BIZ UD明朝 Medium" w:hAnsi="BIZ UD明朝 Medium" w:cs="ＭＳ Ｐゴシック" w:hint="eastAsia"/>
          <w:kern w:val="0"/>
          <w:sz w:val="24"/>
          <w:szCs w:val="24"/>
        </w:rPr>
        <w:t>てい</w:t>
      </w:r>
      <w:r w:rsidRPr="002C0808">
        <w:rPr>
          <w:rFonts w:ascii="BIZ UD明朝 Medium" w:eastAsia="BIZ UD明朝 Medium" w:hAnsi="BIZ UD明朝 Medium" w:cs="ＭＳ Ｐゴシック" w:hint="eastAsia"/>
          <w:kern w:val="0"/>
          <w:sz w:val="24"/>
          <w:szCs w:val="24"/>
        </w:rPr>
        <w:t>ます。償却資産は、当該価額から減価償却累計額を控除した価額を計上しています。</w:t>
      </w:r>
    </w:p>
    <w:p w14:paraId="7D440516" w14:textId="77777777" w:rsidR="001A42B0" w:rsidRDefault="00697584" w:rsidP="001A42B0">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1FD81E73" w:rsidR="00697584" w:rsidRPr="002C0808" w:rsidRDefault="00697584" w:rsidP="001A42B0">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w:t>
      </w:r>
      <w:r w:rsidR="00341C69">
        <w:rPr>
          <w:rFonts w:ascii="BIZ UD明朝 Medium" w:eastAsia="BIZ UD明朝 Medium" w:hAnsi="BIZ UD明朝 Medium" w:cs="ＭＳ Ｐゴシック" w:hint="eastAsia"/>
          <w:kern w:val="0"/>
          <w:sz w:val="24"/>
          <w:szCs w:val="24"/>
        </w:rPr>
        <w:t>てい</w:t>
      </w:r>
      <w:r w:rsidRPr="002C0808">
        <w:rPr>
          <w:rFonts w:ascii="BIZ UD明朝 Medium" w:eastAsia="BIZ UD明朝 Medium" w:hAnsi="BIZ UD明朝 Medium" w:cs="ＭＳ Ｐゴシック" w:hint="eastAsia"/>
          <w:kern w:val="0"/>
          <w:sz w:val="24"/>
          <w:szCs w:val="24"/>
        </w:rPr>
        <w:t>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65E59F09"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r w:rsidR="007D79BE">
        <w:rPr>
          <w:rFonts w:ascii="BIZ UD明朝 Medium" w:eastAsia="BIZ UD明朝 Medium" w:hAnsi="BIZ UD明朝 Medium" w:cs="ＭＳ Ｐゴシック" w:hint="eastAsia"/>
          <w:kern w:val="0"/>
          <w:sz w:val="24"/>
          <w:szCs w:val="24"/>
        </w:rPr>
        <w:t>（定額法）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74B971EC"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定額法により減価償却を行います。ただし、インフラ資産の工作物(道路の底地と一体である工作物のうち橋りょう、トンネル、駐輪場、電線共同溝を除く構造物及び付属物)については、取替法を適用し</w:t>
      </w:r>
      <w:r w:rsidR="00341C69">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374A716"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w:t>
      </w:r>
      <w:r w:rsidR="00341C69">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0F938340"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w:t>
      </w:r>
      <w:r w:rsidR="00341C69">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③ 賞与等引当金</w:t>
      </w:r>
    </w:p>
    <w:p w14:paraId="00CC055E" w14:textId="3DFF680D"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w:t>
      </w:r>
      <w:r w:rsidRPr="003B555F">
        <w:rPr>
          <w:rFonts w:ascii="BIZ UD明朝 Medium" w:eastAsia="BIZ UD明朝 Medium" w:hAnsi="BIZ UD明朝 Medium" w:cs="ＭＳ Ｐゴシック" w:hint="eastAsia"/>
          <w:kern w:val="0"/>
          <w:sz w:val="24"/>
          <w:szCs w:val="24"/>
        </w:rPr>
        <w:lastRenderedPageBreak/>
        <w:t>３１日まで）／全支給対象期間（６ヶ月）の割合を乗じた額を計上し</w:t>
      </w:r>
      <w:r w:rsidR="00341C69">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5C968D5A" w14:textId="6E20C179" w:rsidR="00130A01" w:rsidRDefault="004432D7" w:rsidP="004432D7">
      <w:pPr>
        <w:widowControl/>
        <w:ind w:left="480" w:hangingChars="200" w:hanging="48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現金及び現金同等物（出納整理期間中の取引により発生する資金の受払いを含む。）を、資金の範囲としています。</w:t>
      </w:r>
    </w:p>
    <w:p w14:paraId="5CFE51EF" w14:textId="77777777" w:rsidR="004432D7" w:rsidRDefault="004432D7" w:rsidP="00130A01">
      <w:pPr>
        <w:widowControl/>
        <w:jc w:val="left"/>
        <w:rPr>
          <w:rFonts w:ascii="BIZ UD明朝 Medium" w:eastAsia="BIZ UD明朝 Medium" w:hAnsi="BIZ UD明朝 Medium" w:cs="ＭＳ Ｐゴシック"/>
          <w:kern w:val="0"/>
          <w:sz w:val="24"/>
          <w:szCs w:val="24"/>
        </w:rPr>
      </w:pPr>
    </w:p>
    <w:p w14:paraId="5365A640" w14:textId="77777777" w:rsidR="00130A01" w:rsidRDefault="00130A01" w:rsidP="00130A01">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7DA7C621" w14:textId="2F34FB4C" w:rsidR="00130A01" w:rsidRPr="00B30FFA" w:rsidRDefault="00130A01" w:rsidP="00130A01">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sidR="0080593C">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59A172A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130A01">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0214AA" w:rsidRDefault="00725BDF" w:rsidP="00725BDF">
      <w:pPr>
        <w:jc w:val="left"/>
        <w:rPr>
          <w:rFonts w:ascii="BIZ UDゴシック" w:eastAsia="BIZ UDゴシック" w:hAnsi="BIZ UDゴシック" w:cs="ＭＳ Ｐゴシック"/>
          <w:kern w:val="0"/>
          <w:sz w:val="24"/>
          <w:szCs w:val="24"/>
        </w:rPr>
      </w:pPr>
      <w:r w:rsidRPr="000214AA">
        <w:rPr>
          <w:rFonts w:ascii="BIZ UDゴシック" w:eastAsia="BIZ UDゴシック" w:hAnsi="BIZ UDゴシック" w:cs="ＭＳ Ｐゴシック" w:hint="eastAsia"/>
          <w:kern w:val="0"/>
          <w:sz w:val="24"/>
          <w:szCs w:val="24"/>
        </w:rPr>
        <w:t>４　偶発債務</w:t>
      </w:r>
    </w:p>
    <w:p w14:paraId="26C65523" w14:textId="070D5C46" w:rsidR="00725BDF" w:rsidRPr="000214AA" w:rsidRDefault="003B555F" w:rsidP="00725BDF">
      <w:pPr>
        <w:widowControl/>
        <w:jc w:val="left"/>
        <w:rPr>
          <w:rFonts w:ascii="BIZ UDゴシック" w:eastAsia="BIZ UDゴシック" w:hAnsi="BIZ UDゴシック" w:cs="ＭＳ Ｐゴシック"/>
          <w:kern w:val="0"/>
          <w:sz w:val="24"/>
          <w:szCs w:val="24"/>
        </w:rPr>
      </w:pPr>
      <w:r w:rsidRPr="000214AA">
        <w:rPr>
          <w:rFonts w:ascii="BIZ UDゴシック" w:eastAsia="BIZ UDゴシック" w:hAnsi="BIZ UDゴシック" w:cs="ＭＳ Ｐゴシック" w:hint="eastAsia"/>
          <w:kern w:val="0"/>
          <w:sz w:val="24"/>
          <w:szCs w:val="24"/>
        </w:rPr>
        <w:t>（１）</w:t>
      </w:r>
      <w:r w:rsidR="00725BDF" w:rsidRPr="000214AA">
        <w:rPr>
          <w:rFonts w:ascii="BIZ UDゴシック" w:eastAsia="BIZ UDゴシック" w:hAnsi="BIZ UDゴシック" w:cs="ＭＳ Ｐゴシック" w:hint="eastAsia"/>
          <w:kern w:val="0"/>
          <w:sz w:val="24"/>
          <w:szCs w:val="24"/>
        </w:rPr>
        <w:t>係争中の訴訟等で損害賠償等の請求を受けているもの</w:t>
      </w:r>
    </w:p>
    <w:p w14:paraId="551C55FC" w14:textId="5FB38598" w:rsidR="000214AA" w:rsidRPr="00D13985" w:rsidRDefault="0080593C" w:rsidP="000214AA">
      <w:pPr>
        <w:widowControl/>
        <w:ind w:firstLineChars="222" w:firstLine="533"/>
        <w:jc w:val="left"/>
        <w:rPr>
          <w:rFonts w:ascii="BIZ UD明朝 Medium" w:eastAsia="BIZ UD明朝 Medium" w:hAnsi="BIZ UD明朝 Medium" w:cs="ＭＳ Ｐゴシック"/>
          <w:color w:val="FF0000"/>
          <w:kern w:val="0"/>
          <w:sz w:val="24"/>
          <w:szCs w:val="24"/>
        </w:rPr>
      </w:pPr>
      <w:r>
        <w:rPr>
          <w:rFonts w:ascii="BIZ UD明朝 Medium" w:eastAsia="BIZ UD明朝 Medium" w:hAnsi="BIZ UD明朝 Medium" w:hint="eastAsia"/>
          <w:sz w:val="24"/>
          <w:szCs w:val="24"/>
        </w:rPr>
        <w:t>１件</w:t>
      </w:r>
      <w:r w:rsidR="000214AA">
        <w:rPr>
          <w:rFonts w:ascii="BIZ UD明朝 Medium" w:eastAsia="BIZ UD明朝 Medium" w:hAnsi="BIZ UD明朝 Medium" w:hint="eastAsia"/>
          <w:sz w:val="24"/>
          <w:szCs w:val="24"/>
        </w:rPr>
        <w:t xml:space="preserve">　１百万円</w:t>
      </w:r>
    </w:p>
    <w:p w14:paraId="1166D25B" w14:textId="77777777" w:rsidR="004F6E05" w:rsidRPr="000214AA" w:rsidRDefault="004F6E05" w:rsidP="00725BDF">
      <w:pPr>
        <w:widowControl/>
        <w:ind w:firstLineChars="222" w:firstLine="533"/>
        <w:jc w:val="left"/>
        <w:rPr>
          <w:rFonts w:ascii="BIZ UD明朝 Medium" w:eastAsia="BIZ UD明朝 Medium" w:hAnsi="BIZ UD明朝 Medium" w:cs="ＭＳ Ｐゴシック"/>
          <w:color w:val="FF0000"/>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1E2AA45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64EEAA10" w14:textId="77777777" w:rsidR="00341C69" w:rsidRDefault="00341C69" w:rsidP="00FA7A80">
      <w:pPr>
        <w:widowControl/>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7C0AF1C4" w:rsidR="00725BDF" w:rsidRDefault="005269B5" w:rsidP="00823EE2">
      <w:pPr>
        <w:ind w:firstLineChars="350" w:firstLine="84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lastRenderedPageBreak/>
        <w:t>全体会計</w:t>
      </w:r>
      <w:r w:rsidR="00725BDF" w:rsidRPr="00FA7A80">
        <w:rPr>
          <w:rFonts w:ascii="BIZ UD明朝 Medium" w:eastAsia="BIZ UD明朝 Medium" w:hAnsi="BIZ UD明朝 Medium" w:cs="ＭＳ Ｐゴシック" w:hint="eastAsia"/>
          <w:kern w:val="0"/>
          <w:sz w:val="24"/>
          <w:szCs w:val="24"/>
        </w:rPr>
        <w:t>財務書類の対象範囲は次のとおりとします。</w:t>
      </w:r>
      <w:r w:rsidR="00725BDF" w:rsidRPr="00FA7A80">
        <w:rPr>
          <w:rFonts w:ascii="BIZ UD明朝 Medium" w:eastAsia="BIZ UD明朝 Medium" w:hAnsi="BIZ UD明朝 Medium" w:cs="ＭＳ Ｐゴシック" w:hint="eastAsia"/>
          <w:kern w:val="0"/>
          <w:sz w:val="24"/>
          <w:szCs w:val="24"/>
        </w:rPr>
        <w:br/>
        <w:t xml:space="preserve">　　   一般会計</w:t>
      </w:r>
    </w:p>
    <w:p w14:paraId="43C573F6" w14:textId="77777777"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国民健康保険事業会計</w:t>
      </w:r>
    </w:p>
    <w:p w14:paraId="08FE6C27" w14:textId="5E758E5D"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後期高齢者医療事業会計</w:t>
      </w:r>
    </w:p>
    <w:p w14:paraId="4AE9F313" w14:textId="58789983" w:rsidR="005269B5" w:rsidRPr="005269B5" w:rsidRDefault="005269B5" w:rsidP="005269B5">
      <w:pPr>
        <w:ind w:firstLineChars="350" w:firstLine="840"/>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介護保険事業会計</w:t>
      </w:r>
    </w:p>
    <w:p w14:paraId="1B1AC2CD" w14:textId="6CAFFBAD" w:rsidR="005269B5" w:rsidRPr="005269B5" w:rsidRDefault="005269B5"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4001BA5A"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w:t>
      </w:r>
      <w:r w:rsidR="00341C69">
        <w:rPr>
          <w:rFonts w:ascii="BIZ UD明朝 Medium" w:eastAsia="BIZ UD明朝 Medium" w:hAnsi="BIZ UD明朝 Medium" w:cs="ＭＳ Ｐゴシック" w:hint="eastAsia"/>
          <w:kern w:val="0"/>
          <w:sz w:val="24"/>
          <w:szCs w:val="24"/>
        </w:rPr>
        <w:t>てい</w:t>
      </w:r>
      <w:r w:rsidRPr="00FA7A80">
        <w:rPr>
          <w:rFonts w:ascii="BIZ UD明朝 Medium" w:eastAsia="BIZ UD明朝 Medium" w:hAnsi="BIZ UD明朝 Medium" w:cs="ＭＳ Ｐゴシック" w:hint="eastAsia"/>
          <w:kern w:val="0"/>
          <w:sz w:val="24"/>
          <w:szCs w:val="24"/>
        </w:rPr>
        <w:t>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299ED8B" w:rsidR="00AB4310" w:rsidRPr="00FA7A80" w:rsidRDefault="005269B5" w:rsidP="00156487">
      <w:pPr>
        <w:widowControl/>
        <w:ind w:leftChars="205" w:left="780" w:hangingChars="146" w:hanging="35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p w14:paraId="2780711F" w14:textId="77777777" w:rsidR="00156487" w:rsidRPr="005269B5"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35640EAD" w:rsidR="005269B5" w:rsidRPr="008B2C2B" w:rsidRDefault="00823EE2" w:rsidP="005269B5">
      <w:pPr>
        <w:widowControl/>
        <w:ind w:leftChars="151" w:left="797" w:hangingChars="200" w:hanging="480"/>
        <w:jc w:val="left"/>
        <w:rPr>
          <w:rFonts w:ascii="ＭＳ ゴシック" w:eastAsia="ＭＳ ゴシック" w:hAnsi="ＭＳ ゴシック" w:cs="ＭＳ Ｐゴシック"/>
          <w:kern w:val="0"/>
          <w:sz w:val="22"/>
        </w:rPr>
      </w:pPr>
      <w:r w:rsidRPr="00FA7A80">
        <w:rPr>
          <w:rFonts w:ascii="BIZ UD明朝 Medium" w:eastAsia="BIZ UD明朝 Medium" w:hAnsi="BIZ UD明朝 Medium" w:cs="ＭＳ Ｐゴシック" w:hint="eastAsia"/>
          <w:kern w:val="0"/>
          <w:sz w:val="24"/>
          <w:szCs w:val="24"/>
        </w:rPr>
        <w:t xml:space="preserve"> </w:t>
      </w:r>
    </w:p>
    <w:p w14:paraId="5ED58C72" w14:textId="76D0AEBC" w:rsidR="0022377C" w:rsidRPr="0022377C" w:rsidRDefault="0022377C" w:rsidP="0022377C">
      <w:pPr>
        <w:widowControl/>
        <w:ind w:leftChars="-100" w:left="1" w:hangingChars="96" w:hanging="211"/>
        <w:jc w:val="left"/>
        <w:rPr>
          <w:rFonts w:ascii="ＭＳ ゴシック" w:eastAsia="ＭＳ ゴシック" w:hAnsi="ＭＳ ゴシック" w:cs="ＭＳ Ｐゴシック"/>
          <w:kern w:val="0"/>
          <w:sz w:val="22"/>
        </w:rPr>
      </w:pPr>
      <w:r w:rsidRPr="008B2C2B">
        <w:rPr>
          <w:rFonts w:ascii="ＭＳ ゴシック" w:eastAsia="ＭＳ ゴシック" w:hAnsi="ＭＳ ゴシック" w:cs="ＭＳ Ｐゴシック" w:hint="eastAsia"/>
          <w:kern w:val="0"/>
          <w:sz w:val="22"/>
        </w:rPr>
        <w:t xml:space="preserve"> </w:t>
      </w:r>
    </w:p>
    <w:sectPr w:rsidR="0022377C" w:rsidRPr="0022377C" w:rsidSect="005945AA">
      <w:pgSz w:w="11906" w:h="16838"/>
      <w:pgMar w:top="1247" w:right="1361" w:bottom="1247"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D714" w14:textId="77777777" w:rsidR="006D33FC" w:rsidRDefault="006D33FC" w:rsidP="006D33FC">
      <w:r>
        <w:separator/>
      </w:r>
    </w:p>
  </w:endnote>
  <w:endnote w:type="continuationSeparator" w:id="0">
    <w:p w14:paraId="1D6C251B" w14:textId="77777777" w:rsidR="006D33FC" w:rsidRDefault="006D33FC"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F59E" w14:textId="77777777" w:rsidR="006D33FC" w:rsidRDefault="006D33FC" w:rsidP="006D33FC">
      <w:r>
        <w:separator/>
      </w:r>
    </w:p>
  </w:footnote>
  <w:footnote w:type="continuationSeparator" w:id="0">
    <w:p w14:paraId="64FAE88D" w14:textId="77777777" w:rsidR="006D33FC" w:rsidRDefault="006D33FC"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214AA"/>
    <w:rsid w:val="000464DD"/>
    <w:rsid w:val="000A347F"/>
    <w:rsid w:val="00130A01"/>
    <w:rsid w:val="00156487"/>
    <w:rsid w:val="0016202F"/>
    <w:rsid w:val="00162C5E"/>
    <w:rsid w:val="00194569"/>
    <w:rsid w:val="001A42B0"/>
    <w:rsid w:val="001F4B8D"/>
    <w:rsid w:val="0022377C"/>
    <w:rsid w:val="00227C3D"/>
    <w:rsid w:val="00285A9F"/>
    <w:rsid w:val="002C0808"/>
    <w:rsid w:val="00341C69"/>
    <w:rsid w:val="00351F47"/>
    <w:rsid w:val="003B555F"/>
    <w:rsid w:val="00405824"/>
    <w:rsid w:val="004432D7"/>
    <w:rsid w:val="00461DD2"/>
    <w:rsid w:val="0049037B"/>
    <w:rsid w:val="004A6FA3"/>
    <w:rsid w:val="004D34EE"/>
    <w:rsid w:val="004E03F4"/>
    <w:rsid w:val="004F6E05"/>
    <w:rsid w:val="00512BE2"/>
    <w:rsid w:val="005269B5"/>
    <w:rsid w:val="00562C49"/>
    <w:rsid w:val="005945AA"/>
    <w:rsid w:val="005E4DF3"/>
    <w:rsid w:val="00612807"/>
    <w:rsid w:val="00697584"/>
    <w:rsid w:val="006D33FC"/>
    <w:rsid w:val="00725BDF"/>
    <w:rsid w:val="00745D9E"/>
    <w:rsid w:val="00752346"/>
    <w:rsid w:val="007778C2"/>
    <w:rsid w:val="007B4DEB"/>
    <w:rsid w:val="007D79BE"/>
    <w:rsid w:val="007F317F"/>
    <w:rsid w:val="0080593C"/>
    <w:rsid w:val="00820D93"/>
    <w:rsid w:val="00823EE2"/>
    <w:rsid w:val="008846E7"/>
    <w:rsid w:val="009D6198"/>
    <w:rsid w:val="00A07A23"/>
    <w:rsid w:val="00AB4310"/>
    <w:rsid w:val="00AC3B94"/>
    <w:rsid w:val="00B3003D"/>
    <w:rsid w:val="00B74B02"/>
    <w:rsid w:val="00C06F8A"/>
    <w:rsid w:val="00C63E2B"/>
    <w:rsid w:val="00C7242C"/>
    <w:rsid w:val="00CB6294"/>
    <w:rsid w:val="00D53BDA"/>
    <w:rsid w:val="00D8688F"/>
    <w:rsid w:val="00DE74EE"/>
    <w:rsid w:val="00E21CED"/>
    <w:rsid w:val="00E23D03"/>
    <w:rsid w:val="00F310D9"/>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256</Words>
  <Characters>1465</Characters>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2022-08-25T01:19:00Z</dcterms:created>
  <dcterms:modified xsi:type="dcterms:W3CDTF">2023-10-03T08:48:00Z</dcterms:modified>
</cp:coreProperties>
</file>