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861B" w14:textId="06F17338" w:rsidR="002C0808" w:rsidRP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w:t>
      </w:r>
      <w:r w:rsidR="008E1FC1">
        <w:rPr>
          <w:rFonts w:ascii="BIZ UDゴシック" w:eastAsia="BIZ UDゴシック" w:hAnsi="BIZ UDゴシック" w:cs="ＭＳ Ｐゴシック" w:hint="eastAsia"/>
          <w:kern w:val="0"/>
          <w:sz w:val="24"/>
          <w:szCs w:val="24"/>
        </w:rPr>
        <w:t>連結</w:t>
      </w:r>
      <w:r w:rsidRPr="002C0808">
        <w:rPr>
          <w:rFonts w:ascii="BIZ UDゴシック" w:eastAsia="BIZ UDゴシック" w:hAnsi="BIZ UDゴシック" w:cs="ＭＳ Ｐゴシック" w:hint="eastAsia"/>
          <w:kern w:val="0"/>
          <w:sz w:val="24"/>
          <w:szCs w:val="24"/>
        </w:rPr>
        <w:t>会計）</w:t>
      </w: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692161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ます。償却資産は、当該価額から減価償却累計額を控除した価額を計上しています。</w:t>
      </w:r>
    </w:p>
    <w:p w14:paraId="303D13E2" w14:textId="77777777" w:rsidR="005668DF" w:rsidRDefault="00697584" w:rsidP="005668DF">
      <w:pPr>
        <w:widowControl/>
        <w:ind w:leftChars="346" w:left="869" w:hangingChars="59" w:hanging="142"/>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r w:rsidR="002C0808" w:rsidRPr="002C0808">
        <w:rPr>
          <w:rFonts w:ascii="BIZ UD明朝 Medium" w:eastAsia="BIZ UD明朝 Medium" w:hAnsi="BIZ UD明朝 Medium" w:cs="ＭＳ Ｐゴシック" w:hint="eastAsia"/>
          <w:kern w:val="0"/>
          <w:sz w:val="24"/>
          <w:szCs w:val="24"/>
        </w:rPr>
        <w:t>と</w:t>
      </w:r>
    </w:p>
    <w:p w14:paraId="61A24BC4" w14:textId="1315391F" w:rsidR="00697584" w:rsidRPr="002C0808" w:rsidRDefault="00697584" w:rsidP="005668DF">
      <w:pPr>
        <w:widowControl/>
        <w:ind w:firstLineChars="200" w:firstLine="480"/>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します。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35C0B837"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7777777"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4E000752" w14:textId="77777777" w:rsidR="00156487" w:rsidRPr="003B555F" w:rsidRDefault="00156487"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77777777"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085FF8F6" w14:textId="069BAE7D" w:rsidR="00271902" w:rsidRDefault="00271902" w:rsidP="009905CB">
      <w:pPr>
        <w:widowControl/>
        <w:ind w:firstLineChars="300" w:firstLine="720"/>
        <w:jc w:val="left"/>
        <w:rPr>
          <w:rFonts w:ascii="BIZ UD明朝 Medium" w:eastAsia="BIZ UD明朝 Medium" w:hAnsi="BIZ UD明朝 Medium" w:cs="ＭＳ Ｐゴシック"/>
          <w:kern w:val="0"/>
          <w:sz w:val="24"/>
          <w:szCs w:val="24"/>
        </w:rPr>
      </w:pPr>
      <w:r w:rsidRPr="00B30FFA">
        <w:rPr>
          <w:rFonts w:ascii="BIZ UD明朝 Medium" w:eastAsia="BIZ UD明朝 Medium" w:hAnsi="BIZ UD明朝 Medium" w:cs="ＭＳ Ｐゴシック" w:hint="eastAsia"/>
          <w:kern w:val="0"/>
          <w:sz w:val="24"/>
          <w:szCs w:val="24"/>
        </w:rPr>
        <w:t>現金（手許現金及び要求払預金）及び現金同等物とします。</w:t>
      </w:r>
    </w:p>
    <w:p w14:paraId="49B45458" w14:textId="26149B5F" w:rsidR="00B30FFA" w:rsidRDefault="00B30FFA" w:rsidP="00B30FFA">
      <w:pPr>
        <w:widowControl/>
        <w:jc w:val="left"/>
        <w:rPr>
          <w:rFonts w:ascii="BIZ UD明朝 Medium" w:eastAsia="BIZ UD明朝 Medium" w:hAnsi="BIZ UD明朝 Medium" w:cs="ＭＳ Ｐゴシック"/>
          <w:kern w:val="0"/>
          <w:sz w:val="24"/>
          <w:szCs w:val="24"/>
        </w:rPr>
      </w:pPr>
    </w:p>
    <w:p w14:paraId="7F995876" w14:textId="6A714298" w:rsidR="00B30FFA" w:rsidRDefault="00B30FFA" w:rsidP="00B30FFA">
      <w:pPr>
        <w:widowControl/>
        <w:jc w:val="left"/>
        <w:rPr>
          <w:rFonts w:ascii="BIZ UDゴシック" w:eastAsia="BIZ UDゴシック" w:hAnsi="BIZ UDゴシック" w:cs="ＭＳ Ｐゴシック"/>
          <w:kern w:val="0"/>
          <w:sz w:val="24"/>
          <w:szCs w:val="24"/>
        </w:rPr>
      </w:pPr>
      <w:r w:rsidRPr="00B30FFA">
        <w:rPr>
          <w:rFonts w:ascii="BIZ UDゴシック" w:eastAsia="BIZ UDゴシック" w:hAnsi="BIZ UDゴシック" w:cs="ＭＳ Ｐゴシック" w:hint="eastAsia"/>
          <w:kern w:val="0"/>
          <w:sz w:val="24"/>
          <w:szCs w:val="24"/>
        </w:rPr>
        <w:t>（７）</w:t>
      </w:r>
      <w:r>
        <w:rPr>
          <w:rFonts w:ascii="BIZ UDゴシック" w:eastAsia="BIZ UDゴシック" w:hAnsi="BIZ UDゴシック" w:cs="ＭＳ Ｐゴシック" w:hint="eastAsia"/>
          <w:kern w:val="0"/>
          <w:sz w:val="24"/>
          <w:szCs w:val="24"/>
        </w:rPr>
        <w:t>消費税等の会計処理</w:t>
      </w:r>
    </w:p>
    <w:p w14:paraId="1614AE78" w14:textId="3CB085BD" w:rsidR="00B30FFA" w:rsidRPr="00B30FFA" w:rsidRDefault="00B30FFA" w:rsidP="00B30FFA">
      <w:pPr>
        <w:widowControl/>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kern w:val="0"/>
          <w:sz w:val="24"/>
          <w:szCs w:val="24"/>
        </w:rPr>
        <w:t xml:space="preserve">　　　</w:t>
      </w:r>
      <w:r>
        <w:rPr>
          <w:rFonts w:ascii="BIZ UD明朝 Medium" w:eastAsia="BIZ UD明朝 Medium" w:hAnsi="BIZ UD明朝 Medium" w:cs="ＭＳ Ｐゴシック" w:hint="eastAsia"/>
          <w:kern w:val="0"/>
          <w:sz w:val="24"/>
          <w:szCs w:val="24"/>
        </w:rPr>
        <w:t>消費税等の会計処理は、税込み方式によっています。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43DC8DD3"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w:t>
      </w:r>
      <w:r w:rsidR="00B30FFA">
        <w:rPr>
          <w:rFonts w:ascii="BIZ UDゴシック" w:eastAsia="BIZ UDゴシック" w:hAnsi="BIZ UDゴシック" w:cs="ＭＳ Ｐゴシック" w:hint="eastAsia"/>
          <w:kern w:val="0"/>
          <w:sz w:val="24"/>
          <w:szCs w:val="24"/>
        </w:rPr>
        <w:t>８</w:t>
      </w:r>
      <w:r w:rsidRPr="002C0808">
        <w:rPr>
          <w:rFonts w:ascii="BIZ UDゴシック" w:eastAsia="BIZ UDゴシック" w:hAnsi="BIZ UDゴシック" w:cs="ＭＳ Ｐゴシック" w:hint="eastAsia"/>
          <w:kern w:val="0"/>
          <w:sz w:val="24"/>
          <w:szCs w:val="24"/>
        </w:rPr>
        <w:t>）その他財務書類作成のための基本となる事項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　偶発債務</w:t>
      </w:r>
    </w:p>
    <w:p w14:paraId="26C65523" w14:textId="070D5C46" w:rsidR="00725BDF" w:rsidRPr="002C0808" w:rsidRDefault="003B555F" w:rsidP="00725BDF">
      <w:pPr>
        <w:widowControl/>
        <w:jc w:val="left"/>
        <w:rPr>
          <w:rFonts w:ascii="BIZ UDゴシック" w:eastAsia="BIZ UDゴシック" w:hAnsi="BIZ UDゴシック" w:cs="ＭＳ Ｐゴシック"/>
          <w:kern w:val="0"/>
          <w:sz w:val="24"/>
          <w:szCs w:val="24"/>
        </w:rPr>
      </w:pPr>
      <w:r>
        <w:rPr>
          <w:rFonts w:ascii="BIZ UDゴシック" w:eastAsia="BIZ UDゴシック" w:hAnsi="BIZ UDゴシック" w:cs="ＭＳ Ｐゴシック" w:hint="eastAsia"/>
          <w:kern w:val="0"/>
          <w:sz w:val="24"/>
          <w:szCs w:val="24"/>
        </w:rPr>
        <w:t>（１）</w:t>
      </w:r>
      <w:r w:rsidR="00725BDF" w:rsidRPr="002C0808">
        <w:rPr>
          <w:rFonts w:ascii="BIZ UDゴシック" w:eastAsia="BIZ UDゴシック" w:hAnsi="BIZ UDゴシック" w:cs="ＭＳ Ｐゴシック" w:hint="eastAsia"/>
          <w:kern w:val="0"/>
          <w:sz w:val="24"/>
          <w:szCs w:val="24"/>
        </w:rPr>
        <w:t>係争中の訴訟等で損害賠償等の請求を受けているもの</w:t>
      </w:r>
    </w:p>
    <w:p w14:paraId="3CB431AF" w14:textId="77777777" w:rsidR="00C86091" w:rsidRDefault="00C86091" w:rsidP="00C86091">
      <w:pPr>
        <w:widowControl/>
        <w:ind w:firstLineChars="200" w:firstLine="48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該当する事象はありません。</w:t>
      </w:r>
    </w:p>
    <w:p w14:paraId="1CE4552C" w14:textId="77777777" w:rsidR="00C86091" w:rsidRPr="003A4A35" w:rsidRDefault="00C86091"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lastRenderedPageBreak/>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6F52273A" w:rsidR="00725BDF" w:rsidRDefault="00EB4CBD" w:rsidP="00EB4CBD">
      <w:pPr>
        <w:ind w:leftChars="400" w:left="840"/>
        <w:jc w:val="left"/>
        <w:rPr>
          <w:rFonts w:ascii="BIZ UD明朝 Medium" w:eastAsia="BIZ UD明朝 Medium" w:hAnsi="BIZ UD明朝 Medium" w:cs="ＭＳ Ｐゴシック"/>
          <w:kern w:val="0"/>
          <w:sz w:val="24"/>
          <w:szCs w:val="24"/>
        </w:rPr>
      </w:pPr>
      <w:r w:rsidRPr="00EB4CBD">
        <w:rPr>
          <w:rFonts w:ascii="BIZ UD明朝 Medium" w:eastAsia="BIZ UD明朝 Medium" w:hAnsi="BIZ UD明朝 Medium" w:cs="ＭＳ Ｐゴシック" w:hint="eastAsia"/>
          <w:kern w:val="0"/>
          <w:sz w:val="24"/>
          <w:szCs w:val="24"/>
        </w:rPr>
        <w:t>他の自治体と事務を共同処理するための一部事務組合、区が出資して事業を</w:t>
      </w:r>
      <w:r>
        <w:rPr>
          <w:rFonts w:ascii="BIZ UD明朝 Medium" w:eastAsia="BIZ UD明朝 Medium" w:hAnsi="BIZ UD明朝 Medium" w:cs="ＭＳ Ｐゴシック" w:hint="eastAsia"/>
          <w:kern w:val="0"/>
          <w:sz w:val="24"/>
          <w:szCs w:val="24"/>
        </w:rPr>
        <w:t xml:space="preserve">　</w:t>
      </w:r>
      <w:r w:rsidRPr="00EB4CBD">
        <w:rPr>
          <w:rFonts w:ascii="BIZ UD明朝 Medium" w:eastAsia="BIZ UD明朝 Medium" w:hAnsi="BIZ UD明朝 Medium" w:cs="ＭＳ Ｐゴシック" w:hint="eastAsia"/>
          <w:kern w:val="0"/>
          <w:sz w:val="24"/>
          <w:szCs w:val="24"/>
        </w:rPr>
        <w:t>行っている第三セクターを連結対象としています。</w:t>
      </w:r>
      <w:r w:rsidR="00725BDF" w:rsidRPr="00EB4CBD">
        <w:rPr>
          <w:rFonts w:ascii="BIZ UD明朝 Medium" w:eastAsia="BIZ UD明朝 Medium" w:hAnsi="BIZ UD明朝 Medium" w:cs="ＭＳ Ｐゴシック" w:hint="eastAsia"/>
          <w:kern w:val="0"/>
          <w:sz w:val="24"/>
          <w:szCs w:val="24"/>
        </w:rPr>
        <w:br/>
      </w:r>
      <w:r w:rsidRPr="00EB4CBD">
        <w:rPr>
          <w:rFonts w:ascii="BIZ UD明朝 Medium" w:eastAsia="BIZ UD明朝 Medium" w:hAnsi="BIZ UD明朝 Medium" w:cs="ＭＳ Ｐゴシック" w:hint="eastAsia"/>
          <w:kern w:val="0"/>
          <w:sz w:val="24"/>
          <w:szCs w:val="24"/>
        </w:rPr>
        <w:t>港区役所 一般会計 ： 全部連結</w:t>
      </w:r>
      <w:r w:rsidR="00725BDF" w:rsidRPr="00FA7A80">
        <w:rPr>
          <w:rFonts w:ascii="BIZ UD明朝 Medium" w:eastAsia="BIZ UD明朝 Medium" w:hAnsi="BIZ UD明朝 Medium" w:cs="ＭＳ Ｐゴシック" w:hint="eastAsia"/>
          <w:kern w:val="0"/>
          <w:sz w:val="24"/>
          <w:szCs w:val="24"/>
        </w:rPr>
        <w:t xml:space="preserve">　</w:t>
      </w:r>
    </w:p>
    <w:p w14:paraId="4AE9F313" w14:textId="4CDA027B" w:rsidR="005269B5" w:rsidRPr="005269B5" w:rsidRDefault="00EB4CBD" w:rsidP="005269B5">
      <w:pPr>
        <w:ind w:firstLineChars="350" w:firstLine="840"/>
        <w:jc w:val="left"/>
        <w:rPr>
          <w:rFonts w:ascii="BIZ UD明朝 Medium" w:eastAsia="BIZ UD明朝 Medium" w:hAnsi="BIZ UD明朝 Medium" w:cs="ＭＳ Ｐゴシック"/>
          <w:kern w:val="0"/>
          <w:sz w:val="24"/>
          <w:szCs w:val="24"/>
        </w:rPr>
      </w:pPr>
      <w:r w:rsidRPr="00EB4CBD">
        <w:rPr>
          <w:rFonts w:ascii="BIZ UD明朝 Medium" w:eastAsia="BIZ UD明朝 Medium" w:hAnsi="BIZ UD明朝 Medium" w:cs="ＭＳ Ｐゴシック" w:hint="eastAsia"/>
          <w:kern w:val="0"/>
          <w:sz w:val="24"/>
          <w:szCs w:val="24"/>
        </w:rPr>
        <w:t>港区役所 国民健康保険事業会計 ： 全部連結</w:t>
      </w:r>
    </w:p>
    <w:p w14:paraId="1B1AC2CD" w14:textId="49475096" w:rsidR="005269B5"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港区役所 後期高齢者医療事業会計 ： 全部連結</w:t>
      </w:r>
    </w:p>
    <w:p w14:paraId="4FEB721E" w14:textId="2F0D84C2" w:rsidR="00361F4A"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港区役所 介護保険事業会計（保険事業勘定） ： 全部連結</w:t>
      </w:r>
    </w:p>
    <w:p w14:paraId="25C0307F" w14:textId="545EDBB8" w:rsidR="00361F4A" w:rsidRPr="00361F4A" w:rsidRDefault="00361F4A" w:rsidP="00645E10">
      <w:pPr>
        <w:ind w:leftChars="393" w:left="7454" w:hangingChars="2762" w:hanging="6629"/>
        <w:jc w:val="left"/>
        <w:rPr>
          <w:rFonts w:ascii="BIZ UD明朝 Medium" w:eastAsia="BIZ UD明朝 Medium" w:hAnsi="BIZ UD明朝 Medium" w:cs="ＭＳ Ｐゴシック"/>
          <w:color w:val="FF0000"/>
          <w:kern w:val="0"/>
          <w:sz w:val="24"/>
          <w:szCs w:val="24"/>
        </w:rPr>
      </w:pPr>
      <w:r w:rsidRPr="00361F4A">
        <w:rPr>
          <w:rFonts w:ascii="BIZ UD明朝 Medium" w:eastAsia="BIZ UD明朝 Medium" w:hAnsi="BIZ UD明朝 Medium" w:cs="ＭＳ Ｐゴシック" w:hint="eastAsia"/>
          <w:kern w:val="0"/>
          <w:sz w:val="24"/>
          <w:szCs w:val="24"/>
        </w:rPr>
        <w:t>一部事務組合・広域連合 特別区人事・厚生事務組合 ： 比例連結</w:t>
      </w:r>
      <w:r w:rsidR="00645E10" w:rsidRPr="005A2227">
        <w:rPr>
          <w:rFonts w:ascii="BIZ UD明朝 Medium" w:eastAsia="BIZ UD明朝 Medium" w:hAnsi="BIZ UD明朝 Medium" w:cs="ＭＳ Ｐゴシック" w:hint="eastAsia"/>
          <w:kern w:val="0"/>
          <w:sz w:val="24"/>
          <w:szCs w:val="24"/>
        </w:rPr>
        <w:t>（</w:t>
      </w:r>
      <w:r w:rsidRPr="005A2227">
        <w:rPr>
          <w:rFonts w:ascii="BIZ UD明朝 Medium" w:eastAsia="BIZ UD明朝 Medium" w:hAnsi="BIZ UD明朝 Medium" w:cs="ＭＳ Ｐゴシック" w:hint="eastAsia"/>
          <w:kern w:val="0"/>
          <w:sz w:val="24"/>
          <w:szCs w:val="24"/>
        </w:rPr>
        <w:t>4.</w:t>
      </w:r>
      <w:r w:rsidR="005A2227" w:rsidRPr="005A2227">
        <w:rPr>
          <w:rFonts w:ascii="BIZ UD明朝 Medium" w:eastAsia="BIZ UD明朝 Medium" w:hAnsi="BIZ UD明朝 Medium" w:cs="ＭＳ Ｐゴシック" w:hint="eastAsia"/>
          <w:kern w:val="0"/>
          <w:sz w:val="24"/>
          <w:szCs w:val="24"/>
        </w:rPr>
        <w:t>2302</w:t>
      </w:r>
      <w:r w:rsidRPr="005A2227">
        <w:rPr>
          <w:rFonts w:ascii="BIZ UD明朝 Medium" w:eastAsia="BIZ UD明朝 Medium" w:hAnsi="BIZ UD明朝 Medium" w:cs="ＭＳ Ｐゴシック" w:hint="eastAsia"/>
          <w:kern w:val="0"/>
          <w:sz w:val="24"/>
          <w:szCs w:val="24"/>
        </w:rPr>
        <w:t>％）</w:t>
      </w:r>
    </w:p>
    <w:p w14:paraId="059A36FE" w14:textId="5C376763" w:rsidR="00361F4A" w:rsidRPr="005A2227" w:rsidRDefault="00361F4A" w:rsidP="00823EE2">
      <w:pPr>
        <w:ind w:firstLineChars="350" w:firstLine="840"/>
        <w:jc w:val="left"/>
        <w:rPr>
          <w:rFonts w:ascii="BIZ UD明朝 Medium" w:eastAsia="BIZ UD明朝 Medium" w:hAnsi="BIZ UD明朝 Medium" w:cs="ＭＳ Ｐゴシック"/>
          <w:color w:val="FF0000"/>
          <w:kern w:val="0"/>
          <w:sz w:val="24"/>
          <w:szCs w:val="24"/>
        </w:rPr>
      </w:pPr>
      <w:r w:rsidRPr="00361F4A">
        <w:rPr>
          <w:rFonts w:ascii="BIZ UD明朝 Medium" w:eastAsia="BIZ UD明朝 Medium" w:hAnsi="BIZ UD明朝 Medium" w:cs="ＭＳ Ｐゴシック" w:hint="eastAsia"/>
          <w:kern w:val="0"/>
          <w:sz w:val="24"/>
          <w:szCs w:val="24"/>
        </w:rPr>
        <w:t>一部事務組合・広域連合 特別区競馬組合 ： 比例連結</w:t>
      </w:r>
      <w:r w:rsidRPr="005A2227">
        <w:rPr>
          <w:rFonts w:ascii="BIZ UD明朝 Medium" w:eastAsia="BIZ UD明朝 Medium" w:hAnsi="BIZ UD明朝 Medium" w:cs="ＭＳ Ｐゴシック" w:hint="eastAsia"/>
          <w:kern w:val="0"/>
          <w:sz w:val="24"/>
          <w:szCs w:val="24"/>
        </w:rPr>
        <w:t>（4.348</w:t>
      </w:r>
      <w:r w:rsidR="00645E10" w:rsidRPr="005A2227">
        <w:rPr>
          <w:rFonts w:ascii="BIZ UD明朝 Medium" w:eastAsia="BIZ UD明朝 Medium" w:hAnsi="BIZ UD明朝 Medium" w:cs="ＭＳ Ｐゴシック" w:hint="eastAsia"/>
          <w:kern w:val="0"/>
          <w:sz w:val="24"/>
          <w:szCs w:val="24"/>
        </w:rPr>
        <w:t>0</w:t>
      </w:r>
      <w:r w:rsidRPr="005A2227">
        <w:rPr>
          <w:rFonts w:ascii="BIZ UD明朝 Medium" w:eastAsia="BIZ UD明朝 Medium" w:hAnsi="BIZ UD明朝 Medium" w:cs="ＭＳ Ｐゴシック" w:hint="eastAsia"/>
          <w:kern w:val="0"/>
          <w:sz w:val="24"/>
          <w:szCs w:val="24"/>
        </w:rPr>
        <w:t>%）</w:t>
      </w:r>
    </w:p>
    <w:p w14:paraId="0E6800F8" w14:textId="4F28E56C" w:rsidR="00361F4A"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一部事務組合・広域連合 臨海部広域斎場組合 ： 比例連結</w:t>
      </w:r>
      <w:r w:rsidRPr="005A2227">
        <w:rPr>
          <w:rFonts w:ascii="BIZ UD明朝 Medium" w:eastAsia="BIZ UD明朝 Medium" w:hAnsi="BIZ UD明朝 Medium" w:cs="ＭＳ Ｐゴシック" w:hint="eastAsia"/>
          <w:kern w:val="0"/>
          <w:sz w:val="24"/>
          <w:szCs w:val="24"/>
        </w:rPr>
        <w:t>（</w:t>
      </w:r>
      <w:r w:rsidR="00A96A0C" w:rsidRPr="005A2227">
        <w:rPr>
          <w:rFonts w:ascii="BIZ UD明朝 Medium" w:eastAsia="BIZ UD明朝 Medium" w:hAnsi="BIZ UD明朝 Medium" w:cs="ＭＳ Ｐゴシック" w:hint="eastAsia"/>
          <w:kern w:val="0"/>
          <w:sz w:val="24"/>
          <w:szCs w:val="24"/>
        </w:rPr>
        <w:t>5</w:t>
      </w:r>
      <w:r w:rsidRPr="005A2227">
        <w:rPr>
          <w:rFonts w:ascii="BIZ UD明朝 Medium" w:eastAsia="BIZ UD明朝 Medium" w:hAnsi="BIZ UD明朝 Medium" w:cs="ＭＳ Ｐゴシック" w:hint="eastAsia"/>
          <w:kern w:val="0"/>
          <w:sz w:val="24"/>
          <w:szCs w:val="24"/>
        </w:rPr>
        <w:t>.</w:t>
      </w:r>
      <w:r w:rsidR="005A2227" w:rsidRPr="005A2227">
        <w:rPr>
          <w:rFonts w:ascii="BIZ UD明朝 Medium" w:eastAsia="BIZ UD明朝 Medium" w:hAnsi="BIZ UD明朝 Medium" w:cs="ＭＳ Ｐゴシック" w:hint="eastAsia"/>
          <w:kern w:val="0"/>
          <w:sz w:val="24"/>
          <w:szCs w:val="24"/>
        </w:rPr>
        <w:t>397</w:t>
      </w:r>
      <w:r w:rsidR="00645E10" w:rsidRPr="005A2227">
        <w:rPr>
          <w:rFonts w:ascii="BIZ UD明朝 Medium" w:eastAsia="BIZ UD明朝 Medium" w:hAnsi="BIZ UD明朝 Medium" w:cs="ＭＳ Ｐゴシック" w:hint="eastAsia"/>
          <w:kern w:val="0"/>
          <w:sz w:val="24"/>
          <w:szCs w:val="24"/>
        </w:rPr>
        <w:t>0</w:t>
      </w:r>
      <w:r w:rsidRPr="005A2227">
        <w:rPr>
          <w:rFonts w:ascii="BIZ UD明朝 Medium" w:eastAsia="BIZ UD明朝 Medium" w:hAnsi="BIZ UD明朝 Medium" w:cs="ＭＳ Ｐゴシック" w:hint="eastAsia"/>
          <w:kern w:val="0"/>
          <w:sz w:val="24"/>
          <w:szCs w:val="24"/>
        </w:rPr>
        <w:t>%）</w:t>
      </w:r>
    </w:p>
    <w:p w14:paraId="7D0EC0AE" w14:textId="66F49757" w:rsidR="00361F4A" w:rsidRDefault="00361F4A" w:rsidP="00361F4A">
      <w:pPr>
        <w:ind w:leftChars="405" w:left="7452" w:hangingChars="2751" w:hanging="6602"/>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一部事務組合・広域連合 東京二十三区清掃一部事務組合 ： 比例連結</w:t>
      </w:r>
      <w:r w:rsidRPr="005A2227">
        <w:rPr>
          <w:rFonts w:ascii="BIZ UD明朝 Medium" w:eastAsia="BIZ UD明朝 Medium" w:hAnsi="BIZ UD明朝 Medium" w:cs="ＭＳ Ｐゴシック" w:hint="eastAsia"/>
          <w:kern w:val="0"/>
          <w:sz w:val="24"/>
          <w:szCs w:val="24"/>
        </w:rPr>
        <w:t>（</w:t>
      </w:r>
      <w:r w:rsidR="005A2227" w:rsidRPr="005A2227">
        <w:rPr>
          <w:rFonts w:ascii="BIZ UD明朝 Medium" w:eastAsia="BIZ UD明朝 Medium" w:hAnsi="BIZ UD明朝 Medium" w:cs="ＭＳ Ｐゴシック" w:hint="eastAsia"/>
          <w:kern w:val="0"/>
          <w:sz w:val="24"/>
          <w:szCs w:val="24"/>
        </w:rPr>
        <w:t>4</w:t>
      </w:r>
      <w:r w:rsidRPr="005A2227">
        <w:rPr>
          <w:rFonts w:ascii="BIZ UD明朝 Medium" w:eastAsia="BIZ UD明朝 Medium" w:hAnsi="BIZ UD明朝 Medium" w:cs="ＭＳ Ｐゴシック" w:hint="eastAsia"/>
          <w:kern w:val="0"/>
          <w:sz w:val="24"/>
          <w:szCs w:val="24"/>
        </w:rPr>
        <w:t>.</w:t>
      </w:r>
      <w:r w:rsidR="005A2227" w:rsidRPr="005A2227">
        <w:rPr>
          <w:rFonts w:ascii="BIZ UD明朝 Medium" w:eastAsia="BIZ UD明朝 Medium" w:hAnsi="BIZ UD明朝 Medium" w:cs="ＭＳ Ｐゴシック" w:hint="eastAsia"/>
          <w:kern w:val="0"/>
          <w:sz w:val="24"/>
          <w:szCs w:val="24"/>
        </w:rPr>
        <w:t>0810</w:t>
      </w:r>
      <w:r w:rsidRPr="005A2227">
        <w:rPr>
          <w:rFonts w:ascii="BIZ UD明朝 Medium" w:eastAsia="BIZ UD明朝 Medium" w:hAnsi="BIZ UD明朝 Medium" w:cs="ＭＳ Ｐゴシック" w:hint="eastAsia"/>
          <w:kern w:val="0"/>
          <w:sz w:val="24"/>
          <w:szCs w:val="24"/>
        </w:rPr>
        <w:t>%）</w:t>
      </w:r>
    </w:p>
    <w:p w14:paraId="022EB33B" w14:textId="066A1F72" w:rsidR="00361F4A" w:rsidRPr="00645E10" w:rsidRDefault="00361F4A" w:rsidP="00361F4A">
      <w:pPr>
        <w:ind w:leftChars="405" w:left="7572" w:hangingChars="2801" w:hanging="6722"/>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一部事務組合・広域連合 東京都後期高齢者医療広域連合 ： 比例連結</w:t>
      </w:r>
      <w:r>
        <w:rPr>
          <w:rFonts w:ascii="BIZ UD明朝 Medium" w:eastAsia="BIZ UD明朝 Medium" w:hAnsi="BIZ UD明朝 Medium" w:cs="ＭＳ Ｐゴシック" w:hint="eastAsia"/>
          <w:kern w:val="0"/>
          <w:sz w:val="24"/>
          <w:szCs w:val="24"/>
        </w:rPr>
        <w:t xml:space="preserve"> </w:t>
      </w:r>
      <w:r w:rsidRPr="005A2227">
        <w:rPr>
          <w:rFonts w:ascii="BIZ UD明朝 Medium" w:eastAsia="BIZ UD明朝 Medium" w:hAnsi="BIZ UD明朝 Medium" w:cs="ＭＳ Ｐゴシック" w:hint="eastAsia"/>
          <w:kern w:val="0"/>
          <w:sz w:val="24"/>
          <w:szCs w:val="24"/>
        </w:rPr>
        <w:t>（1.7</w:t>
      </w:r>
      <w:r w:rsidR="00645E10" w:rsidRPr="005A2227">
        <w:rPr>
          <w:rFonts w:ascii="BIZ UD明朝 Medium" w:eastAsia="BIZ UD明朝 Medium" w:hAnsi="BIZ UD明朝 Medium" w:cs="ＭＳ Ｐゴシック"/>
          <w:kern w:val="0"/>
          <w:sz w:val="24"/>
          <w:szCs w:val="24"/>
        </w:rPr>
        <w:t>8</w:t>
      </w:r>
      <w:r w:rsidR="005A2227" w:rsidRPr="005A2227">
        <w:rPr>
          <w:rFonts w:ascii="BIZ UD明朝 Medium" w:eastAsia="BIZ UD明朝 Medium" w:hAnsi="BIZ UD明朝 Medium" w:cs="ＭＳ Ｐゴシック" w:hint="eastAsia"/>
          <w:kern w:val="0"/>
          <w:sz w:val="24"/>
          <w:szCs w:val="24"/>
        </w:rPr>
        <w:t>65</w:t>
      </w:r>
      <w:r w:rsidRPr="005A2227">
        <w:rPr>
          <w:rFonts w:ascii="BIZ UD明朝 Medium" w:eastAsia="BIZ UD明朝 Medium" w:hAnsi="BIZ UD明朝 Medium" w:cs="ＭＳ Ｐゴシック" w:hint="eastAsia"/>
          <w:kern w:val="0"/>
          <w:sz w:val="24"/>
          <w:szCs w:val="24"/>
        </w:rPr>
        <w:t>%）</w:t>
      </w:r>
    </w:p>
    <w:p w14:paraId="6025A247" w14:textId="1A8AAF03" w:rsidR="00361F4A"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第三セクター 港区スポーツふれあい文化健康財団 ： 全部連結</w:t>
      </w:r>
    </w:p>
    <w:p w14:paraId="12BA8200" w14:textId="77777777" w:rsidR="00361F4A" w:rsidRPr="00361F4A" w:rsidRDefault="00361F4A" w:rsidP="00361F4A">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第三セクター 港区社会福祉協議会 ： 全部連結</w:t>
      </w:r>
    </w:p>
    <w:p w14:paraId="15391E51" w14:textId="77777777" w:rsidR="00361F4A" w:rsidRPr="00361F4A" w:rsidRDefault="00361F4A" w:rsidP="00823EE2">
      <w:pPr>
        <w:ind w:firstLineChars="350" w:firstLine="840"/>
        <w:jc w:val="left"/>
        <w:rPr>
          <w:rFonts w:ascii="BIZ UD明朝 Medium" w:eastAsia="BIZ UD明朝 Medium" w:hAnsi="BIZ UD明朝 Medium" w:cs="ＭＳ Ｐゴシック"/>
          <w:kern w:val="0"/>
          <w:sz w:val="24"/>
          <w:szCs w:val="24"/>
        </w:rPr>
      </w:pPr>
    </w:p>
    <w:p w14:paraId="77FFC725" w14:textId="5368A9A8" w:rsidR="00820D93" w:rsidRPr="00FA7A80" w:rsidRDefault="005269B5" w:rsidP="00820D93">
      <w:pPr>
        <w:ind w:firstLineChars="203" w:firstLine="487"/>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00820D93"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77777777"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p w14:paraId="5C985BC3" w14:textId="5C0533E3" w:rsidR="00361F4A" w:rsidRDefault="00361F4A" w:rsidP="00361F4A">
      <w:pPr>
        <w:jc w:val="left"/>
        <w:rPr>
          <w:rFonts w:ascii="BIZ UD明朝 Medium" w:eastAsia="BIZ UD明朝 Medium" w:hAnsi="BIZ UD明朝 Medium" w:cs="ＭＳ Ｐゴシック"/>
          <w:kern w:val="0"/>
          <w:sz w:val="24"/>
          <w:szCs w:val="24"/>
        </w:rPr>
      </w:pPr>
    </w:p>
    <w:p w14:paraId="4EA46275" w14:textId="5849A299" w:rsidR="00361F4A" w:rsidRPr="00361F4A" w:rsidRDefault="00361F4A" w:rsidP="00361F4A">
      <w:pPr>
        <w:pStyle w:val="a3"/>
        <w:widowControl/>
        <w:ind w:leftChars="117" w:left="846" w:hangingChars="250" w:hanging="60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kern w:val="0"/>
          <w:sz w:val="24"/>
          <w:szCs w:val="24"/>
        </w:rPr>
        <w:t xml:space="preserve">  </w:t>
      </w:r>
      <w:r w:rsidRPr="00361F4A">
        <w:rPr>
          <w:rFonts w:ascii="BIZ UD明朝 Medium" w:eastAsia="BIZ UD明朝 Medium" w:hAnsi="BIZ UD明朝 Medium" w:cs="ＭＳ Ｐゴシック" w:hint="eastAsia"/>
          <w:kern w:val="0"/>
          <w:sz w:val="24"/>
          <w:szCs w:val="24"/>
        </w:rPr>
        <w:t>③ なお、出納整理期間を設けていない団体（会計）と出納整理期間を設けている団体（会計）との間で、出納整理期間に現金の受払い等があった場合は、現金の受払い等が終了したものとして調整しています。</w:t>
      </w:r>
    </w:p>
    <w:p w14:paraId="3070F546" w14:textId="77777777" w:rsidR="00361F4A" w:rsidRPr="00FA7A80" w:rsidRDefault="00361F4A" w:rsidP="00361F4A">
      <w:pPr>
        <w:jc w:val="left"/>
        <w:rPr>
          <w:rFonts w:ascii="BIZ UD明朝 Medium" w:eastAsia="BIZ UD明朝 Medium" w:hAnsi="BIZ UD明朝 Medium" w:cs="ＭＳ Ｐゴシック"/>
          <w:kern w:val="0"/>
          <w:sz w:val="24"/>
          <w:szCs w:val="24"/>
        </w:rPr>
      </w:pPr>
    </w:p>
    <w:p w14:paraId="09EB6B4F" w14:textId="28DFD86C" w:rsidR="00AB4310" w:rsidRPr="00FA7A80" w:rsidRDefault="00361F4A" w:rsidP="00361F4A">
      <w:pPr>
        <w:widowControl/>
        <w:ind w:leftChars="255" w:left="765" w:hangingChars="96" w:hanging="23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④ </w:t>
      </w:r>
      <w:r w:rsidR="00AB4310"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00AB4310" w:rsidRPr="00FA7A80">
        <w:rPr>
          <w:rFonts w:ascii="BIZ UD明朝 Medium" w:eastAsia="BIZ UD明朝 Medium" w:hAnsi="BIZ UD明朝 Medium" w:cs="ＭＳ Ｐゴシック" w:hint="eastAsia"/>
          <w:kern w:val="0"/>
          <w:sz w:val="24"/>
          <w:szCs w:val="24"/>
        </w:rPr>
        <w:t>す。</w:t>
      </w:r>
    </w:p>
    <w:sectPr w:rsidR="00AB4310" w:rsidRPr="00FA7A80" w:rsidSect="00612807">
      <w:pgSz w:w="11906" w:h="16838"/>
      <w:pgMar w:top="1985" w:right="1361" w:bottom="1701"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6D9F8" w14:textId="77777777" w:rsidR="003F4FDB" w:rsidRDefault="003F4FDB" w:rsidP="006D33FC">
      <w:r>
        <w:separator/>
      </w:r>
    </w:p>
  </w:endnote>
  <w:endnote w:type="continuationSeparator" w:id="0">
    <w:p w14:paraId="6AE9A77C" w14:textId="77777777" w:rsidR="003F4FDB" w:rsidRDefault="003F4FDB" w:rsidP="006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A3DA" w14:textId="77777777" w:rsidR="003F4FDB" w:rsidRDefault="003F4FDB" w:rsidP="006D33FC">
      <w:r>
        <w:separator/>
      </w:r>
    </w:p>
  </w:footnote>
  <w:footnote w:type="continuationSeparator" w:id="0">
    <w:p w14:paraId="129971D4" w14:textId="77777777" w:rsidR="003F4FDB" w:rsidRDefault="003F4FDB" w:rsidP="006D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D12"/>
    <w:multiLevelType w:val="hybridMultilevel"/>
    <w:tmpl w:val="9AA8A730"/>
    <w:lvl w:ilvl="0" w:tplc="4C06D53A">
      <w:start w:val="1"/>
      <w:numFmt w:val="decimalEnclosedCircle"/>
      <w:lvlText w:val="%1"/>
      <w:lvlJc w:val="left"/>
      <w:pPr>
        <w:ind w:left="786"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33B0FE0"/>
    <w:multiLevelType w:val="hybridMultilevel"/>
    <w:tmpl w:val="797C09B8"/>
    <w:lvl w:ilvl="0" w:tplc="A9C43DB4">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16cid:durableId="117997219">
    <w:abstractNumId w:val="5"/>
  </w:num>
  <w:num w:numId="2" w16cid:durableId="326053570">
    <w:abstractNumId w:val="4"/>
  </w:num>
  <w:num w:numId="3" w16cid:durableId="901788326">
    <w:abstractNumId w:val="0"/>
  </w:num>
  <w:num w:numId="4" w16cid:durableId="117722201">
    <w:abstractNumId w:val="1"/>
  </w:num>
  <w:num w:numId="5" w16cid:durableId="1444224223">
    <w:abstractNumId w:val="3"/>
  </w:num>
  <w:num w:numId="6" w16cid:durableId="402222359">
    <w:abstractNumId w:val="9"/>
  </w:num>
  <w:num w:numId="7" w16cid:durableId="330258938">
    <w:abstractNumId w:val="2"/>
  </w:num>
  <w:num w:numId="8" w16cid:durableId="1523012208">
    <w:abstractNumId w:val="7"/>
  </w:num>
  <w:num w:numId="9" w16cid:durableId="26295983">
    <w:abstractNumId w:val="8"/>
  </w:num>
  <w:num w:numId="10" w16cid:durableId="897208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464DD"/>
    <w:rsid w:val="00156487"/>
    <w:rsid w:val="0016202F"/>
    <w:rsid w:val="00162C5E"/>
    <w:rsid w:val="001F4B8D"/>
    <w:rsid w:val="0022377C"/>
    <w:rsid w:val="00271902"/>
    <w:rsid w:val="00285A9F"/>
    <w:rsid w:val="002C0808"/>
    <w:rsid w:val="00351F47"/>
    <w:rsid w:val="00361F4A"/>
    <w:rsid w:val="003A4A35"/>
    <w:rsid w:val="003B555F"/>
    <w:rsid w:val="003F4FDB"/>
    <w:rsid w:val="00405824"/>
    <w:rsid w:val="00461DD2"/>
    <w:rsid w:val="0049037B"/>
    <w:rsid w:val="004B2F84"/>
    <w:rsid w:val="004D34EE"/>
    <w:rsid w:val="004E03F4"/>
    <w:rsid w:val="00512BE2"/>
    <w:rsid w:val="005269B5"/>
    <w:rsid w:val="00542938"/>
    <w:rsid w:val="00562C49"/>
    <w:rsid w:val="005668DF"/>
    <w:rsid w:val="005A2227"/>
    <w:rsid w:val="005E4DF3"/>
    <w:rsid w:val="00612807"/>
    <w:rsid w:val="00645E10"/>
    <w:rsid w:val="00697584"/>
    <w:rsid w:val="006D33FC"/>
    <w:rsid w:val="00725BDF"/>
    <w:rsid w:val="00745D9E"/>
    <w:rsid w:val="00752346"/>
    <w:rsid w:val="007866BC"/>
    <w:rsid w:val="007B4DEB"/>
    <w:rsid w:val="00820D93"/>
    <w:rsid w:val="00823EE2"/>
    <w:rsid w:val="008846E7"/>
    <w:rsid w:val="008E1FC1"/>
    <w:rsid w:val="009905CB"/>
    <w:rsid w:val="009D6198"/>
    <w:rsid w:val="00A07A23"/>
    <w:rsid w:val="00A96A0C"/>
    <w:rsid w:val="00AB4310"/>
    <w:rsid w:val="00B30FFA"/>
    <w:rsid w:val="00B74B02"/>
    <w:rsid w:val="00C15980"/>
    <w:rsid w:val="00C63E2B"/>
    <w:rsid w:val="00C7242C"/>
    <w:rsid w:val="00C86091"/>
    <w:rsid w:val="00CB6294"/>
    <w:rsid w:val="00D53BDA"/>
    <w:rsid w:val="00D8688F"/>
    <w:rsid w:val="00E21CED"/>
    <w:rsid w:val="00E23D03"/>
    <w:rsid w:val="00E85541"/>
    <w:rsid w:val="00EB4CBD"/>
    <w:rsid w:val="00FA7A80"/>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6D33FC"/>
    <w:pPr>
      <w:tabs>
        <w:tab w:val="center" w:pos="4252"/>
        <w:tab w:val="right" w:pos="8504"/>
      </w:tabs>
      <w:snapToGrid w:val="0"/>
    </w:pPr>
  </w:style>
  <w:style w:type="character" w:customStyle="1" w:styleId="ad">
    <w:name w:val="ヘッダー (文字)"/>
    <w:basedOn w:val="a0"/>
    <w:link w:val="ac"/>
    <w:uiPriority w:val="99"/>
    <w:rsid w:val="006D33FC"/>
    <w:rPr>
      <w:rFonts w:asciiTheme="minorHAnsi" w:eastAsiaTheme="minorEastAsia" w:hAnsiTheme="minorHAnsi"/>
      <w:color w:val="auto"/>
      <w:sz w:val="21"/>
    </w:rPr>
  </w:style>
  <w:style w:type="paragraph" w:styleId="ae">
    <w:name w:val="footer"/>
    <w:basedOn w:val="a"/>
    <w:link w:val="af"/>
    <w:uiPriority w:val="99"/>
    <w:unhideWhenUsed/>
    <w:rsid w:val="006D33FC"/>
    <w:pPr>
      <w:tabs>
        <w:tab w:val="center" w:pos="4252"/>
        <w:tab w:val="right" w:pos="8504"/>
      </w:tabs>
      <w:snapToGrid w:val="0"/>
    </w:pPr>
  </w:style>
  <w:style w:type="character" w:customStyle="1" w:styleId="af">
    <w:name w:val="フッター (文字)"/>
    <w:basedOn w:val="a0"/>
    <w:link w:val="ae"/>
    <w:uiPriority w:val="99"/>
    <w:rsid w:val="006D33FC"/>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317</Words>
  <Characters>1809</Characters>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2022-08-25T01:20:00Z</dcterms:created>
  <dcterms:modified xsi:type="dcterms:W3CDTF">2023-03-27T09:01:00Z</dcterms:modified>
</cp:coreProperties>
</file>