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99" w:type="dxa"/>
          <w:right w:w="99" w:type="dxa"/>
        </w:tblCellMar>
        <w:tblLook w:val="04A0" w:firstRow="1" w:lastRow="0" w:firstColumn="1" w:lastColumn="0" w:noHBand="0" w:noVBand="1"/>
      </w:tblPr>
      <w:tblGrid>
        <w:gridCol w:w="9944"/>
      </w:tblGrid>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CD1345" w:rsidP="00CD1345">
            <w:pPr>
              <w:widowControl/>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１</w:t>
            </w:r>
            <w:r>
              <w:rPr>
                <w:rFonts w:ascii="ＭＳ ゴシック" w:eastAsia="ＭＳ ゴシック" w:hAnsi="ＭＳ ゴシック" w:cs="ＭＳ Ｐゴシック" w:hint="eastAsia"/>
                <w:kern w:val="0"/>
                <w:sz w:val="22"/>
              </w:rPr>
              <w:t xml:space="preserve">　</w:t>
            </w:r>
            <w:r w:rsidRPr="00CD1345">
              <w:rPr>
                <w:rFonts w:ascii="ＭＳ ゴシック" w:eastAsia="ＭＳ ゴシック" w:hAnsi="ＭＳ ゴシック" w:cs="ＭＳ Ｐゴシック" w:hint="eastAsia"/>
                <w:kern w:val="0"/>
                <w:sz w:val="22"/>
              </w:rPr>
              <w:t>重要な会計方針</w:t>
            </w: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CD1345" w:rsidP="00CD1345">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（１）</w:t>
            </w:r>
            <w:r w:rsidRPr="00CD1345">
              <w:rPr>
                <w:rFonts w:ascii="ＭＳ ゴシック" w:eastAsia="ＭＳ ゴシック" w:hAnsi="ＭＳ ゴシック" w:cs="ＭＳ Ｐゴシック" w:hint="eastAsia"/>
                <w:kern w:val="0"/>
                <w:sz w:val="22"/>
              </w:rPr>
              <w:t>有形固定資産等の評価基準及び評価方法</w:t>
            </w:r>
          </w:p>
        </w:tc>
      </w:tr>
      <w:tr w:rsidR="00CD1345" w:rsidRPr="00CD1345" w:rsidTr="00463C93">
        <w:trPr>
          <w:trHeight w:val="1080"/>
        </w:trPr>
        <w:tc>
          <w:tcPr>
            <w:tcW w:w="5000" w:type="pct"/>
            <w:tcBorders>
              <w:top w:val="nil"/>
              <w:left w:val="nil"/>
              <w:bottom w:val="nil"/>
              <w:right w:val="nil"/>
            </w:tcBorders>
            <w:shd w:val="clear" w:color="auto" w:fill="auto"/>
            <w:hideMark/>
          </w:tcPr>
          <w:p w:rsidR="00F2078E" w:rsidRDefault="00CD1345" w:rsidP="00F2078E">
            <w:pPr>
              <w:widowControl/>
              <w:ind w:leftChars="300" w:left="630" w:firstLineChars="100" w:firstLine="22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有形固定資産及び無形固定資産の開始時簿価については、取得原価が判明しているものは、原則として取得原価とし、取得原価が不明なものは、原則として再調達原価とします。</w:t>
            </w:r>
          </w:p>
          <w:p w:rsidR="00CD1345" w:rsidRPr="00CD1345" w:rsidRDefault="00CD1345" w:rsidP="00F2078E">
            <w:pPr>
              <w:widowControl/>
              <w:ind w:leftChars="300" w:left="630" w:firstLineChars="100" w:firstLine="22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償却資産は、当該価額から減価償却累計額を控除した価額を計上</w:t>
            </w:r>
            <w:r w:rsidR="00AD1556">
              <w:rPr>
                <w:rFonts w:ascii="ＭＳ ゴシック" w:eastAsia="ＭＳ ゴシック" w:hAnsi="ＭＳ ゴシック" w:cs="ＭＳ Ｐゴシック" w:hint="eastAsia"/>
                <w:kern w:val="0"/>
                <w:sz w:val="22"/>
              </w:rPr>
              <w:t>します</w:t>
            </w:r>
            <w:r w:rsidRPr="00CD1345">
              <w:rPr>
                <w:rFonts w:ascii="ＭＳ ゴシック" w:eastAsia="ＭＳ ゴシック" w:hAnsi="ＭＳ ゴシック" w:cs="ＭＳ Ｐゴシック" w:hint="eastAsia"/>
                <w:kern w:val="0"/>
                <w:sz w:val="22"/>
              </w:rPr>
              <w:t>。</w:t>
            </w:r>
            <w:r w:rsidRPr="00CD1345">
              <w:rPr>
                <w:rFonts w:ascii="ＭＳ ゴシック" w:eastAsia="ＭＳ ゴシック" w:hAnsi="ＭＳ ゴシック" w:cs="ＭＳ Ｐゴシック" w:hint="eastAsia"/>
                <w:kern w:val="0"/>
                <w:sz w:val="22"/>
              </w:rPr>
              <w:br/>
            </w:r>
            <w:r w:rsidR="00AD1556">
              <w:rPr>
                <w:rFonts w:ascii="ＭＳ ゴシック" w:eastAsia="ＭＳ ゴシック" w:hAnsi="ＭＳ ゴシック" w:cs="ＭＳ Ｐゴシック" w:hint="eastAsia"/>
                <w:kern w:val="0"/>
                <w:sz w:val="22"/>
              </w:rPr>
              <w:t xml:space="preserve">　</w:t>
            </w:r>
            <w:r w:rsidRPr="00CD1345">
              <w:rPr>
                <w:rFonts w:ascii="ＭＳ ゴシック" w:eastAsia="ＭＳ ゴシック" w:hAnsi="ＭＳ ゴシック" w:cs="ＭＳ Ｐゴシック" w:hint="eastAsia"/>
                <w:kern w:val="0"/>
                <w:sz w:val="22"/>
              </w:rPr>
              <w:t>また、開始後については、原則として取得原価とし、再評価は行わないこととします。</w:t>
            </w: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440743" w:rsidRDefault="00CD1345" w:rsidP="00440743">
            <w:pPr>
              <w:pStyle w:val="a3"/>
              <w:widowControl/>
              <w:numPr>
                <w:ilvl w:val="0"/>
                <w:numId w:val="2"/>
              </w:numPr>
              <w:ind w:leftChars="0"/>
              <w:jc w:val="left"/>
              <w:rPr>
                <w:rFonts w:ascii="ＭＳ ゴシック" w:eastAsia="ＭＳ ゴシック" w:hAnsi="ＭＳ ゴシック" w:cs="ＭＳ Ｐゴシック"/>
                <w:kern w:val="0"/>
                <w:sz w:val="22"/>
              </w:rPr>
            </w:pPr>
            <w:r w:rsidRPr="00440743">
              <w:rPr>
                <w:rFonts w:ascii="ＭＳ ゴシック" w:eastAsia="ＭＳ ゴシック" w:hAnsi="ＭＳ ゴシック" w:cs="ＭＳ Ｐゴシック" w:hint="eastAsia"/>
                <w:kern w:val="0"/>
                <w:sz w:val="22"/>
              </w:rPr>
              <w:t>有価証券等の評価基準及び評価方法</w:t>
            </w:r>
          </w:p>
        </w:tc>
      </w:tr>
      <w:tr w:rsidR="00CD1345" w:rsidRPr="00CD1345" w:rsidTr="00463C93">
        <w:trPr>
          <w:trHeight w:val="1350"/>
        </w:trPr>
        <w:tc>
          <w:tcPr>
            <w:tcW w:w="5000" w:type="pct"/>
            <w:tcBorders>
              <w:top w:val="nil"/>
              <w:left w:val="nil"/>
              <w:bottom w:val="nil"/>
              <w:right w:val="nil"/>
            </w:tcBorders>
            <w:shd w:val="clear" w:color="auto" w:fill="auto"/>
            <w:hideMark/>
          </w:tcPr>
          <w:p w:rsidR="00440743" w:rsidRDefault="00440743" w:rsidP="000E3D75">
            <w:pPr>
              <w:pStyle w:val="a3"/>
              <w:widowControl/>
              <w:numPr>
                <w:ilvl w:val="1"/>
                <w:numId w:val="2"/>
              </w:numPr>
              <w:ind w:leftChars="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満</w:t>
            </w:r>
            <w:r w:rsidR="00CD1345" w:rsidRPr="00440743">
              <w:rPr>
                <w:rFonts w:ascii="ＭＳ ゴシック" w:eastAsia="ＭＳ ゴシック" w:hAnsi="ＭＳ ゴシック" w:cs="ＭＳ Ｐゴシック" w:hint="eastAsia"/>
                <w:kern w:val="0"/>
                <w:sz w:val="22"/>
              </w:rPr>
              <w:t>期保有目的有価証券・・・償却</w:t>
            </w:r>
            <w:r w:rsidR="00AD1556">
              <w:rPr>
                <w:rFonts w:ascii="ＭＳ ゴシック" w:eastAsia="ＭＳ ゴシック" w:hAnsi="ＭＳ ゴシック" w:cs="ＭＳ Ｐゴシック" w:hint="eastAsia"/>
                <w:kern w:val="0"/>
                <w:sz w:val="22"/>
              </w:rPr>
              <w:t>原</w:t>
            </w:r>
            <w:r w:rsidR="00CD1345" w:rsidRPr="00440743">
              <w:rPr>
                <w:rFonts w:ascii="ＭＳ ゴシック" w:eastAsia="ＭＳ ゴシック" w:hAnsi="ＭＳ ゴシック" w:cs="ＭＳ Ｐゴシック" w:hint="eastAsia"/>
                <w:kern w:val="0"/>
                <w:sz w:val="22"/>
              </w:rPr>
              <w:t>価法</w:t>
            </w:r>
          </w:p>
          <w:p w:rsidR="00CD1345" w:rsidRDefault="00CD1345" w:rsidP="000E3D75">
            <w:pPr>
              <w:pStyle w:val="a3"/>
              <w:widowControl/>
              <w:numPr>
                <w:ilvl w:val="1"/>
                <w:numId w:val="2"/>
              </w:numPr>
              <w:ind w:leftChars="0"/>
              <w:jc w:val="left"/>
              <w:rPr>
                <w:rFonts w:ascii="ＭＳ ゴシック" w:eastAsia="ＭＳ ゴシック" w:hAnsi="ＭＳ ゴシック" w:cs="ＭＳ Ｐゴシック"/>
                <w:kern w:val="0"/>
                <w:sz w:val="22"/>
              </w:rPr>
            </w:pPr>
            <w:r w:rsidRPr="00440743">
              <w:rPr>
                <w:rFonts w:ascii="ＭＳ ゴシック" w:eastAsia="ＭＳ ゴシック" w:hAnsi="ＭＳ ゴシック" w:cs="ＭＳ Ｐゴシック" w:hint="eastAsia"/>
                <w:kern w:val="0"/>
                <w:sz w:val="22"/>
              </w:rPr>
              <w:t>満期保有目的以外の有価証券</w:t>
            </w:r>
            <w:r w:rsidRPr="00440743">
              <w:rPr>
                <w:rFonts w:ascii="ＭＳ ゴシック" w:eastAsia="ＭＳ ゴシック" w:hAnsi="ＭＳ ゴシック" w:cs="ＭＳ Ｐゴシック" w:hint="eastAsia"/>
                <w:kern w:val="0"/>
                <w:sz w:val="22"/>
              </w:rPr>
              <w:br/>
              <w:t xml:space="preserve">  ア市場価格のあるもの・・・会計年度末における市場価格</w:t>
            </w:r>
            <w:r w:rsidRPr="00440743">
              <w:rPr>
                <w:rFonts w:ascii="ＭＳ ゴシック" w:eastAsia="ＭＳ ゴシック" w:hAnsi="ＭＳ ゴシック" w:cs="ＭＳ Ｐゴシック" w:hint="eastAsia"/>
                <w:kern w:val="0"/>
                <w:sz w:val="22"/>
              </w:rPr>
              <w:br/>
              <w:t xml:space="preserve">  イ市場価格のないもの・・・取得原価</w:t>
            </w:r>
          </w:p>
          <w:p w:rsidR="000E3D75" w:rsidRPr="00AD1556" w:rsidRDefault="000E3D75" w:rsidP="000E3D75">
            <w:pPr>
              <w:pStyle w:val="a3"/>
              <w:widowControl/>
              <w:numPr>
                <w:ilvl w:val="1"/>
                <w:numId w:val="2"/>
              </w:numPr>
              <w:ind w:leftChars="0"/>
              <w:jc w:val="left"/>
              <w:rPr>
                <w:rFonts w:ascii="ＭＳ ゴシック" w:eastAsia="ＭＳ ゴシック" w:hAnsi="ＭＳ ゴシック" w:cs="ＭＳ Ｐゴシック"/>
                <w:kern w:val="0"/>
                <w:sz w:val="22"/>
              </w:rPr>
            </w:pPr>
            <w:r w:rsidRPr="00AD1556">
              <w:rPr>
                <w:rFonts w:ascii="ＭＳ ゴシック" w:eastAsia="ＭＳ ゴシック" w:hAnsi="ＭＳ ゴシック" w:cs="ＭＳ Ｐゴシック" w:hint="eastAsia"/>
                <w:kern w:val="0"/>
                <w:sz w:val="22"/>
              </w:rPr>
              <w:t>出資金</w:t>
            </w:r>
          </w:p>
          <w:p w:rsidR="00440743" w:rsidRPr="00440743" w:rsidRDefault="000E3D75" w:rsidP="00F2078E">
            <w:pPr>
              <w:pStyle w:val="a3"/>
              <w:widowControl/>
              <w:ind w:leftChars="0" w:left="714" w:firstLineChars="126" w:firstLine="277"/>
              <w:jc w:val="left"/>
              <w:rPr>
                <w:rFonts w:ascii="ＭＳ ゴシック" w:eastAsia="ＭＳ ゴシック" w:hAnsi="ＭＳ ゴシック" w:cs="ＭＳ Ｐゴシック"/>
                <w:kern w:val="0"/>
                <w:sz w:val="22"/>
              </w:rPr>
            </w:pPr>
            <w:r w:rsidRPr="00AD1556">
              <w:rPr>
                <w:rFonts w:ascii="ＭＳ ゴシック" w:eastAsia="ＭＳ ゴシック" w:hAnsi="ＭＳ ゴシック" w:cs="ＭＳ Ｐゴシック" w:hint="eastAsia"/>
                <w:kern w:val="0"/>
                <w:sz w:val="22"/>
              </w:rPr>
              <w:t>出資金については、</w:t>
            </w:r>
            <w:r w:rsidR="00AD1556" w:rsidRPr="00AD1556">
              <w:rPr>
                <w:rFonts w:ascii="ＭＳ ゴシック" w:eastAsia="ＭＳ ゴシック" w:hAnsi="ＭＳ ゴシック" w:cs="ＭＳ Ｐゴシック" w:hint="eastAsia"/>
                <w:kern w:val="0"/>
                <w:sz w:val="22"/>
              </w:rPr>
              <w:t>市場価格がないため、</w:t>
            </w:r>
            <w:r w:rsidRPr="00AD1556">
              <w:rPr>
                <w:rFonts w:ascii="ＭＳ ゴシック" w:eastAsia="ＭＳ ゴシック" w:hAnsi="ＭＳ ゴシック" w:cs="ＭＳ Ｐゴシック" w:hint="eastAsia"/>
                <w:kern w:val="0"/>
                <w:sz w:val="22"/>
              </w:rPr>
              <w:t>出資金額により評価しています。ただし、実質価額が著しく低下したものについては、相当の減額を行った後の価額で計上しています。</w:t>
            </w: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440743" w:rsidP="00440743">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（３）</w:t>
            </w:r>
            <w:r w:rsidR="00CD1345" w:rsidRPr="00CD1345">
              <w:rPr>
                <w:rFonts w:ascii="ＭＳ ゴシック" w:eastAsia="ＭＳ ゴシック" w:hAnsi="ＭＳ ゴシック" w:cs="ＭＳ Ｐゴシック" w:hint="eastAsia"/>
                <w:kern w:val="0"/>
                <w:sz w:val="22"/>
              </w:rPr>
              <w:t>有形固定資産等の減価償却の方法</w:t>
            </w:r>
          </w:p>
        </w:tc>
      </w:tr>
      <w:tr w:rsidR="00CD1345" w:rsidRPr="00CD1345" w:rsidTr="00463C93">
        <w:trPr>
          <w:trHeight w:val="1350"/>
        </w:trPr>
        <w:tc>
          <w:tcPr>
            <w:tcW w:w="5000" w:type="pct"/>
            <w:tcBorders>
              <w:top w:val="nil"/>
              <w:left w:val="nil"/>
              <w:bottom w:val="nil"/>
              <w:right w:val="nil"/>
            </w:tcBorders>
            <w:shd w:val="clear" w:color="auto" w:fill="auto"/>
            <w:hideMark/>
          </w:tcPr>
          <w:p w:rsidR="00CD1345" w:rsidRPr="00CD1345" w:rsidRDefault="00CD1345" w:rsidP="00E80112">
            <w:pPr>
              <w:widowControl/>
              <w:ind w:leftChars="337" w:left="708" w:firstLineChars="98" w:firstLine="216"/>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有形固定資産(土地、立木竹、美術品・骨董品、歴史的建造物及び建設仮勘定を除く)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440743" w:rsidP="00440743">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（４）</w:t>
            </w:r>
            <w:r w:rsidR="00CD1345" w:rsidRPr="00CD1345">
              <w:rPr>
                <w:rFonts w:ascii="ＭＳ ゴシック" w:eastAsia="ＭＳ ゴシック" w:hAnsi="ＭＳ ゴシック" w:cs="ＭＳ Ｐゴシック" w:hint="eastAsia"/>
                <w:kern w:val="0"/>
                <w:sz w:val="22"/>
              </w:rPr>
              <w:t>引当金の計上基準及び算定方法</w:t>
            </w:r>
          </w:p>
        </w:tc>
      </w:tr>
      <w:tr w:rsidR="00CD1345" w:rsidRPr="00CD1345" w:rsidTr="00463C93">
        <w:trPr>
          <w:trHeight w:val="3282"/>
        </w:trPr>
        <w:tc>
          <w:tcPr>
            <w:tcW w:w="5000" w:type="pct"/>
            <w:tcBorders>
              <w:top w:val="nil"/>
              <w:left w:val="nil"/>
              <w:bottom w:val="nil"/>
              <w:right w:val="nil"/>
            </w:tcBorders>
            <w:shd w:val="clear" w:color="auto" w:fill="auto"/>
            <w:hideMark/>
          </w:tcPr>
          <w:p w:rsidR="00440743" w:rsidRPr="00440743" w:rsidRDefault="00CD1345" w:rsidP="00440743">
            <w:pPr>
              <w:pStyle w:val="a3"/>
              <w:widowControl/>
              <w:numPr>
                <w:ilvl w:val="0"/>
                <w:numId w:val="3"/>
              </w:numPr>
              <w:ind w:leftChars="0"/>
              <w:jc w:val="left"/>
              <w:rPr>
                <w:rFonts w:ascii="ＭＳ ゴシック" w:eastAsia="ＭＳ ゴシック" w:hAnsi="ＭＳ ゴシック" w:cs="ＭＳ Ｐゴシック"/>
                <w:kern w:val="0"/>
                <w:sz w:val="22"/>
              </w:rPr>
            </w:pPr>
            <w:r w:rsidRPr="00440743">
              <w:rPr>
                <w:rFonts w:ascii="ＭＳ ゴシック" w:eastAsia="ＭＳ ゴシック" w:hAnsi="ＭＳ ゴシック" w:cs="ＭＳ Ｐゴシック" w:hint="eastAsia"/>
                <w:kern w:val="0"/>
                <w:sz w:val="22"/>
              </w:rPr>
              <w:t>徴収不能引当金</w:t>
            </w:r>
          </w:p>
          <w:p w:rsidR="00730F15" w:rsidRDefault="000E3D75" w:rsidP="00E80112">
            <w:pPr>
              <w:pStyle w:val="a3"/>
              <w:widowControl/>
              <w:ind w:leftChars="380" w:left="798" w:firstLineChars="100" w:firstLine="22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短期貸付金、長期貸付金、未収金、長期延滞債権については、</w:t>
            </w:r>
            <w:r w:rsidR="00CD1345" w:rsidRPr="00440743">
              <w:rPr>
                <w:rFonts w:ascii="ＭＳ ゴシック" w:eastAsia="ＭＳ ゴシック" w:hAnsi="ＭＳ ゴシック" w:cs="ＭＳ Ｐゴシック" w:hint="eastAsia"/>
                <w:kern w:val="0"/>
                <w:sz w:val="22"/>
              </w:rPr>
              <w:t>過去５年間の平均不納欠損率により、徴収不能見込額を計上します。</w:t>
            </w:r>
          </w:p>
          <w:p w:rsidR="00730F15" w:rsidRDefault="00730F15" w:rsidP="00730F15">
            <w:pPr>
              <w:pStyle w:val="a3"/>
              <w:widowControl/>
              <w:numPr>
                <w:ilvl w:val="0"/>
                <w:numId w:val="3"/>
              </w:numPr>
              <w:ind w:leftChars="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退職</w:t>
            </w:r>
            <w:r w:rsidR="00CD1345" w:rsidRPr="00440743">
              <w:rPr>
                <w:rFonts w:ascii="ＭＳ ゴシック" w:eastAsia="ＭＳ ゴシック" w:hAnsi="ＭＳ ゴシック" w:cs="ＭＳ Ｐゴシック" w:hint="eastAsia"/>
                <w:kern w:val="0"/>
                <w:sz w:val="22"/>
              </w:rPr>
              <w:t>手当引当金</w:t>
            </w:r>
          </w:p>
          <w:p w:rsidR="00730F15" w:rsidRPr="00C06CA3" w:rsidRDefault="00CD1345" w:rsidP="00E80112">
            <w:pPr>
              <w:widowControl/>
              <w:ind w:leftChars="213" w:left="447" w:firstLineChars="259" w:firstLine="570"/>
              <w:jc w:val="left"/>
              <w:rPr>
                <w:rFonts w:ascii="ＭＳ ゴシック" w:eastAsia="ＭＳ ゴシック" w:hAnsi="ＭＳ ゴシック" w:cs="ＭＳ Ｐゴシック"/>
                <w:kern w:val="0"/>
                <w:sz w:val="22"/>
              </w:rPr>
            </w:pPr>
            <w:r w:rsidRPr="00730F15">
              <w:rPr>
                <w:rFonts w:ascii="ＭＳ ゴシック" w:eastAsia="ＭＳ ゴシック" w:hAnsi="ＭＳ ゴシック" w:cs="ＭＳ Ｐゴシック" w:hint="eastAsia"/>
                <w:kern w:val="0"/>
                <w:sz w:val="22"/>
              </w:rPr>
              <w:t>期末自己都合要支給額により算定することとします。</w:t>
            </w:r>
            <w:r w:rsidRPr="00730F15">
              <w:rPr>
                <w:rFonts w:ascii="ＭＳ ゴシック" w:eastAsia="ＭＳ ゴシック" w:hAnsi="ＭＳ ゴシック" w:cs="ＭＳ Ｐゴシック" w:hint="eastAsia"/>
                <w:kern w:val="0"/>
                <w:sz w:val="22"/>
              </w:rPr>
              <w:br/>
            </w:r>
            <w:r w:rsidR="00C06CA3">
              <w:rPr>
                <w:rFonts w:ascii="ＭＳ ゴシック" w:eastAsia="ＭＳ ゴシック" w:hAnsi="ＭＳ ゴシック" w:cs="ＭＳ Ｐゴシック" w:hint="eastAsia"/>
                <w:kern w:val="0"/>
                <w:sz w:val="22"/>
              </w:rPr>
              <w:t>③</w:t>
            </w:r>
            <w:r w:rsidR="00AD1556">
              <w:rPr>
                <w:rFonts w:ascii="ＭＳ ゴシック" w:eastAsia="ＭＳ ゴシック" w:hAnsi="ＭＳ ゴシック" w:cs="ＭＳ Ｐゴシック" w:hint="eastAsia"/>
                <w:kern w:val="0"/>
                <w:sz w:val="22"/>
              </w:rPr>
              <w:t xml:space="preserve"> </w:t>
            </w:r>
            <w:r w:rsidRPr="00C06CA3">
              <w:rPr>
                <w:rFonts w:ascii="ＭＳ ゴシック" w:eastAsia="ＭＳ ゴシック" w:hAnsi="ＭＳ ゴシック" w:cs="ＭＳ Ｐゴシック" w:hint="eastAsia"/>
                <w:kern w:val="0"/>
                <w:sz w:val="22"/>
              </w:rPr>
              <w:t>賞与等引当金</w:t>
            </w:r>
          </w:p>
          <w:p w:rsidR="00CD1345" w:rsidRPr="00730F15" w:rsidRDefault="00CD1345" w:rsidP="00E80112">
            <w:pPr>
              <w:widowControl/>
              <w:ind w:leftChars="373" w:left="783" w:firstLineChars="100" w:firstLine="220"/>
              <w:jc w:val="left"/>
              <w:rPr>
                <w:rFonts w:ascii="ＭＳ ゴシック" w:eastAsia="ＭＳ ゴシック" w:hAnsi="ＭＳ ゴシック" w:cs="ＭＳ Ｐゴシック"/>
                <w:kern w:val="0"/>
                <w:sz w:val="22"/>
              </w:rPr>
            </w:pPr>
            <w:r w:rsidRPr="00730F15">
              <w:rPr>
                <w:rFonts w:ascii="ＭＳ ゴシック" w:eastAsia="ＭＳ ゴシック" w:hAnsi="ＭＳ ゴシック" w:cs="ＭＳ Ｐゴシック" w:hint="eastAsia"/>
                <w:kern w:val="0"/>
                <w:sz w:val="22"/>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440743" w:rsidP="00440743">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（５）</w:t>
            </w:r>
            <w:r w:rsidR="00CD1345" w:rsidRPr="00CD1345">
              <w:rPr>
                <w:rFonts w:ascii="ＭＳ ゴシック" w:eastAsia="ＭＳ ゴシック" w:hAnsi="ＭＳ ゴシック" w:cs="ＭＳ Ｐゴシック" w:hint="eastAsia"/>
                <w:kern w:val="0"/>
                <w:sz w:val="22"/>
              </w:rPr>
              <w:t>リース取引の処理方法</w:t>
            </w:r>
          </w:p>
        </w:tc>
      </w:tr>
      <w:tr w:rsidR="00CD1345" w:rsidRPr="00CD1345" w:rsidTr="00463C93">
        <w:trPr>
          <w:trHeight w:val="371"/>
        </w:trPr>
        <w:tc>
          <w:tcPr>
            <w:tcW w:w="5000" w:type="pct"/>
            <w:tcBorders>
              <w:top w:val="nil"/>
              <w:left w:val="nil"/>
              <w:bottom w:val="nil"/>
              <w:right w:val="nil"/>
            </w:tcBorders>
            <w:shd w:val="clear" w:color="auto" w:fill="auto"/>
            <w:hideMark/>
          </w:tcPr>
          <w:p w:rsidR="000E3D75" w:rsidRPr="00CD1345" w:rsidRDefault="00CD1345" w:rsidP="0032649E">
            <w:pPr>
              <w:widowControl/>
              <w:ind w:leftChars="305" w:left="640" w:firstLineChars="100" w:firstLine="22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300万円を超えないもの)については、通常の賃貸借取引に係る方法に準じて会計処理を行います。</w:t>
            </w: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730F15" w:rsidP="00730F15">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（６）</w:t>
            </w:r>
            <w:r w:rsidR="00CD1345" w:rsidRPr="00CD1345">
              <w:rPr>
                <w:rFonts w:ascii="ＭＳ ゴシック" w:eastAsia="ＭＳ ゴシック" w:hAnsi="ＭＳ ゴシック" w:cs="ＭＳ Ｐゴシック" w:hint="eastAsia"/>
                <w:kern w:val="0"/>
                <w:sz w:val="22"/>
              </w:rPr>
              <w:t>連結資金収支計算書における資金の範囲</w:t>
            </w: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32649E" w:rsidP="0032649E">
            <w:pPr>
              <w:widowControl/>
              <w:ind w:firstLineChars="400" w:firstLine="88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現金（手許現金及び要求払預金）及び現金同等物</w:t>
            </w:r>
            <w:r w:rsidR="00CD1345" w:rsidRPr="00CD1345">
              <w:rPr>
                <w:rFonts w:ascii="ＭＳ ゴシック" w:eastAsia="ＭＳ ゴシック" w:hAnsi="ＭＳ ゴシック" w:cs="ＭＳ Ｐゴシック" w:hint="eastAsia"/>
                <w:kern w:val="0"/>
                <w:sz w:val="22"/>
              </w:rPr>
              <w:t>とします。</w:t>
            </w: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730F15" w:rsidP="00F2078E">
            <w:pPr>
              <w:widowControl/>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（７）</w:t>
            </w:r>
            <w:r w:rsidR="00F2078E">
              <w:rPr>
                <w:rFonts w:ascii="ＭＳ ゴシック" w:eastAsia="ＭＳ ゴシック" w:hAnsi="ＭＳ ゴシック" w:cs="ＭＳ Ｐゴシック" w:hint="eastAsia"/>
                <w:kern w:val="0"/>
                <w:sz w:val="22"/>
              </w:rPr>
              <w:t>その他財務書類作成のための基本となる重要な事項</w:t>
            </w:r>
          </w:p>
        </w:tc>
      </w:tr>
      <w:tr w:rsidR="0032649E" w:rsidRPr="0032649E" w:rsidTr="00463C93">
        <w:trPr>
          <w:trHeight w:val="270"/>
        </w:trPr>
        <w:tc>
          <w:tcPr>
            <w:tcW w:w="5000" w:type="pct"/>
            <w:tcBorders>
              <w:top w:val="nil"/>
              <w:left w:val="nil"/>
              <w:bottom w:val="nil"/>
              <w:right w:val="nil"/>
            </w:tcBorders>
            <w:shd w:val="clear" w:color="auto" w:fill="auto"/>
            <w:noWrap/>
            <w:vAlign w:val="center"/>
            <w:hideMark/>
          </w:tcPr>
          <w:p w:rsidR="000E3D75" w:rsidRPr="00F2078E" w:rsidRDefault="000E3D75" w:rsidP="00F2078E">
            <w:pPr>
              <w:pStyle w:val="a3"/>
              <w:widowControl/>
              <w:numPr>
                <w:ilvl w:val="0"/>
                <w:numId w:val="10"/>
              </w:numPr>
              <w:ind w:leftChars="0"/>
              <w:jc w:val="left"/>
              <w:rPr>
                <w:rFonts w:ascii="ＭＳ ゴシック" w:eastAsia="ＭＳ ゴシック" w:hAnsi="ＭＳ ゴシック" w:cs="ＭＳ Ｐゴシック"/>
                <w:kern w:val="0"/>
                <w:sz w:val="22"/>
              </w:rPr>
            </w:pPr>
            <w:r w:rsidRPr="00F2078E">
              <w:rPr>
                <w:rFonts w:ascii="ＭＳ ゴシック" w:eastAsia="ＭＳ ゴシック" w:hAnsi="ＭＳ ゴシック" w:cs="ＭＳ Ｐゴシック" w:hint="eastAsia"/>
                <w:kern w:val="0"/>
                <w:sz w:val="22"/>
              </w:rPr>
              <w:lastRenderedPageBreak/>
              <w:t>物品及びソフトウェアの計上基準</w:t>
            </w:r>
          </w:p>
          <w:p w:rsidR="000E3D75" w:rsidRPr="0032649E" w:rsidRDefault="000E3D75" w:rsidP="00E80112">
            <w:pPr>
              <w:widowControl/>
              <w:ind w:leftChars="-29" w:left="784" w:hangingChars="384" w:hanging="845"/>
              <w:jc w:val="left"/>
              <w:rPr>
                <w:rFonts w:ascii="ＭＳ ゴシック" w:eastAsia="ＭＳ ゴシック" w:hAnsi="ＭＳ ゴシック" w:cs="ＭＳ Ｐゴシック"/>
                <w:kern w:val="0"/>
                <w:sz w:val="22"/>
              </w:rPr>
            </w:pPr>
            <w:r w:rsidRPr="0032649E">
              <w:rPr>
                <w:rFonts w:ascii="ＭＳ ゴシック" w:eastAsia="ＭＳ ゴシック" w:hAnsi="ＭＳ ゴシック" w:cs="ＭＳ Ｐゴシック" w:hint="eastAsia"/>
                <w:kern w:val="0"/>
                <w:sz w:val="22"/>
              </w:rPr>
              <w:t xml:space="preserve">　　　　</w:t>
            </w:r>
            <w:r w:rsidR="00F2078E">
              <w:rPr>
                <w:rFonts w:ascii="ＭＳ ゴシック" w:eastAsia="ＭＳ ゴシック" w:hAnsi="ＭＳ ゴシック" w:cs="ＭＳ Ｐゴシック" w:hint="eastAsia"/>
                <w:kern w:val="0"/>
                <w:sz w:val="22"/>
              </w:rPr>
              <w:t xml:space="preserve">　</w:t>
            </w:r>
            <w:r w:rsidRPr="0032649E">
              <w:rPr>
                <w:rFonts w:ascii="ＭＳ ゴシック" w:eastAsia="ＭＳ ゴシック" w:hAnsi="ＭＳ ゴシック" w:cs="ＭＳ Ｐゴシック" w:hint="eastAsia"/>
                <w:kern w:val="0"/>
                <w:sz w:val="22"/>
              </w:rPr>
              <w:t>物品については、取得価額または見積価格が１００万円以上の場合に資産として計上しています。</w:t>
            </w:r>
          </w:p>
          <w:p w:rsidR="00CD1345" w:rsidRDefault="000E3D75" w:rsidP="00E80112">
            <w:pPr>
              <w:widowControl/>
              <w:ind w:leftChars="67" w:left="141"/>
              <w:jc w:val="left"/>
              <w:rPr>
                <w:rFonts w:ascii="ＭＳ ゴシック" w:eastAsia="ＭＳ ゴシック" w:hAnsi="ＭＳ ゴシック" w:cs="ＭＳ Ｐゴシック"/>
                <w:kern w:val="0"/>
                <w:sz w:val="22"/>
              </w:rPr>
            </w:pPr>
            <w:r w:rsidRPr="0032649E">
              <w:rPr>
                <w:rFonts w:ascii="ＭＳ ゴシック" w:eastAsia="ＭＳ ゴシック" w:hAnsi="ＭＳ ゴシック" w:cs="ＭＳ Ｐゴシック" w:hint="eastAsia"/>
                <w:kern w:val="0"/>
                <w:sz w:val="22"/>
              </w:rPr>
              <w:t xml:space="preserve">　　　　ソフトウェアについても物品の取扱いに準じています。</w:t>
            </w:r>
          </w:p>
          <w:p w:rsidR="00F2078E" w:rsidRPr="0032649E" w:rsidRDefault="00F2078E" w:rsidP="000E3D75">
            <w:pPr>
              <w:widowControl/>
              <w:jc w:val="left"/>
              <w:rPr>
                <w:rFonts w:ascii="ＭＳ ゴシック" w:eastAsia="ＭＳ ゴシック" w:hAnsi="ＭＳ ゴシック" w:cs="ＭＳ Ｐゴシック"/>
                <w:kern w:val="0"/>
                <w:sz w:val="22"/>
              </w:rPr>
            </w:pP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CD1345" w:rsidP="00444DF7">
            <w:pPr>
              <w:widowControl/>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２</w:t>
            </w:r>
            <w:r w:rsidR="00444DF7">
              <w:rPr>
                <w:rFonts w:ascii="ＭＳ ゴシック" w:eastAsia="ＭＳ ゴシック" w:hAnsi="ＭＳ ゴシック" w:cs="ＭＳ Ｐゴシック" w:hint="eastAsia"/>
                <w:kern w:val="0"/>
                <w:sz w:val="22"/>
              </w:rPr>
              <w:t xml:space="preserve">　</w:t>
            </w:r>
            <w:r w:rsidRPr="00CD1345">
              <w:rPr>
                <w:rFonts w:ascii="ＭＳ ゴシック" w:eastAsia="ＭＳ ゴシック" w:hAnsi="ＭＳ ゴシック" w:cs="ＭＳ Ｐゴシック" w:hint="eastAsia"/>
                <w:kern w:val="0"/>
                <w:sz w:val="22"/>
              </w:rPr>
              <w:t>重要な会計方針の変更等</w:t>
            </w:r>
          </w:p>
        </w:tc>
      </w:tr>
      <w:tr w:rsidR="00CD1345" w:rsidRPr="00CD1345" w:rsidTr="00463C93">
        <w:trPr>
          <w:trHeight w:val="270"/>
        </w:trPr>
        <w:tc>
          <w:tcPr>
            <w:tcW w:w="5000" w:type="pct"/>
            <w:tcBorders>
              <w:top w:val="nil"/>
              <w:left w:val="nil"/>
              <w:bottom w:val="nil"/>
              <w:right w:val="nil"/>
            </w:tcBorders>
            <w:shd w:val="clear" w:color="auto" w:fill="auto"/>
            <w:noWrap/>
            <w:vAlign w:val="center"/>
            <w:hideMark/>
          </w:tcPr>
          <w:p w:rsidR="00CD1345" w:rsidRDefault="00CD1345" w:rsidP="00F2078E">
            <w:pPr>
              <w:widowControl/>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 xml:space="preserve">　　該当事項はありません。</w:t>
            </w:r>
          </w:p>
          <w:p w:rsidR="00F2078E" w:rsidRPr="00CD1345" w:rsidRDefault="00F2078E" w:rsidP="00F2078E">
            <w:pPr>
              <w:widowControl/>
              <w:jc w:val="left"/>
              <w:rPr>
                <w:rFonts w:ascii="ＭＳ ゴシック" w:eastAsia="ＭＳ ゴシック" w:hAnsi="ＭＳ ゴシック" w:cs="ＭＳ Ｐゴシック"/>
                <w:kern w:val="0"/>
                <w:sz w:val="22"/>
              </w:rPr>
            </w:pPr>
          </w:p>
        </w:tc>
      </w:tr>
      <w:tr w:rsidR="00CD1345" w:rsidRPr="00CD1345" w:rsidTr="00463C93">
        <w:trPr>
          <w:trHeight w:val="270"/>
        </w:trPr>
        <w:tc>
          <w:tcPr>
            <w:tcW w:w="5000" w:type="pct"/>
            <w:tcBorders>
              <w:top w:val="nil"/>
              <w:left w:val="nil"/>
              <w:bottom w:val="nil"/>
              <w:right w:val="nil"/>
            </w:tcBorders>
            <w:shd w:val="clear" w:color="auto" w:fill="auto"/>
            <w:hideMark/>
          </w:tcPr>
          <w:p w:rsidR="00CD1345" w:rsidRPr="00CD1345" w:rsidRDefault="00CD1345" w:rsidP="00444DF7">
            <w:pPr>
              <w:widowControl/>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３</w:t>
            </w:r>
            <w:r w:rsidR="00444DF7">
              <w:rPr>
                <w:rFonts w:ascii="ＭＳ ゴシック" w:eastAsia="ＭＳ ゴシック" w:hAnsi="ＭＳ ゴシック" w:cs="ＭＳ Ｐゴシック" w:hint="eastAsia"/>
                <w:kern w:val="0"/>
                <w:sz w:val="22"/>
              </w:rPr>
              <w:t xml:space="preserve">　</w:t>
            </w:r>
            <w:r w:rsidRPr="00CD1345">
              <w:rPr>
                <w:rFonts w:ascii="ＭＳ ゴシック" w:eastAsia="ＭＳ ゴシック" w:hAnsi="ＭＳ ゴシック" w:cs="ＭＳ Ｐゴシック" w:hint="eastAsia"/>
                <w:kern w:val="0"/>
                <w:sz w:val="22"/>
              </w:rPr>
              <w:t>重要な後発事象</w:t>
            </w:r>
          </w:p>
        </w:tc>
      </w:tr>
      <w:tr w:rsidR="00CD1345" w:rsidRPr="00CD1345" w:rsidTr="00463C93">
        <w:trPr>
          <w:trHeight w:val="270"/>
        </w:trPr>
        <w:tc>
          <w:tcPr>
            <w:tcW w:w="5000" w:type="pct"/>
            <w:tcBorders>
              <w:top w:val="nil"/>
              <w:left w:val="nil"/>
              <w:bottom w:val="nil"/>
              <w:right w:val="nil"/>
            </w:tcBorders>
            <w:shd w:val="clear" w:color="auto" w:fill="auto"/>
            <w:noWrap/>
            <w:vAlign w:val="center"/>
            <w:hideMark/>
          </w:tcPr>
          <w:p w:rsidR="00CD1345" w:rsidRDefault="00CD1345" w:rsidP="00F2078E">
            <w:pPr>
              <w:widowControl/>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 xml:space="preserve">　　該当事項はありません。</w:t>
            </w:r>
          </w:p>
          <w:p w:rsidR="00F2078E" w:rsidRPr="00F2078E" w:rsidRDefault="00F2078E" w:rsidP="00F2078E">
            <w:pPr>
              <w:widowControl/>
              <w:jc w:val="left"/>
              <w:rPr>
                <w:rFonts w:ascii="ＭＳ ゴシック" w:eastAsia="ＭＳ ゴシック" w:hAnsi="ＭＳ ゴシック" w:cs="ＭＳ Ｐゴシック"/>
                <w:kern w:val="0"/>
                <w:sz w:val="22"/>
              </w:rPr>
            </w:pPr>
          </w:p>
        </w:tc>
      </w:tr>
      <w:tr w:rsidR="00CD1345" w:rsidRPr="002B1A3B" w:rsidTr="00463C93">
        <w:trPr>
          <w:trHeight w:val="270"/>
        </w:trPr>
        <w:tc>
          <w:tcPr>
            <w:tcW w:w="5000" w:type="pct"/>
            <w:tcBorders>
              <w:top w:val="nil"/>
              <w:left w:val="nil"/>
              <w:bottom w:val="nil"/>
              <w:right w:val="nil"/>
            </w:tcBorders>
            <w:shd w:val="clear" w:color="auto" w:fill="auto"/>
            <w:hideMark/>
          </w:tcPr>
          <w:p w:rsidR="00CD1345" w:rsidRDefault="00CD1345" w:rsidP="00444DF7">
            <w:pPr>
              <w:widowControl/>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４</w:t>
            </w:r>
            <w:r w:rsidR="00444DF7">
              <w:rPr>
                <w:rFonts w:ascii="ＭＳ ゴシック" w:eastAsia="ＭＳ ゴシック" w:hAnsi="ＭＳ ゴシック" w:cs="ＭＳ Ｐゴシック" w:hint="eastAsia"/>
                <w:kern w:val="0"/>
                <w:sz w:val="22"/>
              </w:rPr>
              <w:t xml:space="preserve">　</w:t>
            </w:r>
            <w:r w:rsidRPr="00CD1345">
              <w:rPr>
                <w:rFonts w:ascii="ＭＳ ゴシック" w:eastAsia="ＭＳ ゴシック" w:hAnsi="ＭＳ ゴシック" w:cs="ＭＳ Ｐゴシック" w:hint="eastAsia"/>
                <w:kern w:val="0"/>
                <w:sz w:val="22"/>
              </w:rPr>
              <w:t>偶発債務</w:t>
            </w:r>
          </w:p>
          <w:tbl>
            <w:tblPr>
              <w:tblW w:w="10660" w:type="dxa"/>
              <w:tblInd w:w="84" w:type="dxa"/>
              <w:tblCellMar>
                <w:left w:w="99" w:type="dxa"/>
                <w:right w:w="99" w:type="dxa"/>
              </w:tblCellMar>
              <w:tblLook w:val="04A0" w:firstRow="1" w:lastRow="0" w:firstColumn="1" w:lastColumn="0" w:noHBand="0" w:noVBand="1"/>
            </w:tblPr>
            <w:tblGrid>
              <w:gridCol w:w="9662"/>
            </w:tblGrid>
            <w:tr w:rsidR="00516BD9" w:rsidRPr="003367A8" w:rsidTr="004A308A">
              <w:trPr>
                <w:trHeight w:val="270"/>
              </w:trPr>
              <w:tc>
                <w:tcPr>
                  <w:tcW w:w="10660" w:type="dxa"/>
                  <w:tcBorders>
                    <w:top w:val="nil"/>
                    <w:left w:val="nil"/>
                    <w:bottom w:val="nil"/>
                    <w:right w:val="nil"/>
                  </w:tcBorders>
                  <w:shd w:val="clear" w:color="auto" w:fill="auto"/>
                  <w:hideMark/>
                </w:tcPr>
                <w:p w:rsidR="00516BD9" w:rsidRPr="003367A8" w:rsidRDefault="00516BD9" w:rsidP="00E80112">
                  <w:pPr>
                    <w:widowControl/>
                    <w:ind w:leftChars="26" w:left="55"/>
                    <w:jc w:val="left"/>
                    <w:rPr>
                      <w:rFonts w:ascii="ＭＳ ゴシック" w:eastAsia="ＭＳ ゴシック" w:hAnsi="ＭＳ ゴシック" w:cs="ＭＳ Ｐゴシック"/>
                      <w:kern w:val="0"/>
                      <w:sz w:val="22"/>
                    </w:rPr>
                  </w:pPr>
                  <w:r w:rsidRPr="003367A8">
                    <w:rPr>
                      <w:rFonts w:ascii="ＭＳ ゴシック" w:eastAsia="ＭＳ ゴシック" w:hAnsi="ＭＳ ゴシック" w:cs="ＭＳ Ｐゴシック" w:hint="eastAsia"/>
                      <w:kern w:val="0"/>
                      <w:sz w:val="22"/>
                    </w:rPr>
                    <w:t xml:space="preserve">  係争中の訴訟等で損害賠償等の請求を受けているもの</w:t>
                  </w:r>
                </w:p>
                <w:p w:rsidR="00516BD9" w:rsidRPr="003367A8" w:rsidRDefault="00516BD9" w:rsidP="002B1A3B">
                  <w:pPr>
                    <w:pStyle w:val="a3"/>
                    <w:widowControl/>
                    <w:numPr>
                      <w:ilvl w:val="0"/>
                      <w:numId w:val="9"/>
                    </w:numPr>
                    <w:ind w:leftChars="0" w:left="668" w:hanging="403"/>
                    <w:jc w:val="left"/>
                    <w:rPr>
                      <w:rFonts w:ascii="ＭＳ ゴシック" w:eastAsia="ＭＳ ゴシック" w:hAnsi="ＭＳ ゴシック" w:cs="ＭＳ Ｐゴシック"/>
                      <w:kern w:val="0"/>
                      <w:sz w:val="22"/>
                    </w:rPr>
                  </w:pPr>
                  <w:r w:rsidRPr="003367A8">
                    <w:rPr>
                      <w:rFonts w:ascii="ＭＳ ゴシック" w:eastAsia="ＭＳ ゴシック" w:hAnsi="ＭＳ ゴシック" w:cs="ＭＳ Ｐゴシック" w:hint="eastAsia"/>
                      <w:kern w:val="0"/>
                      <w:sz w:val="22"/>
                    </w:rPr>
                    <w:t>マンション地下駐車場シャッター破損事故に係る損害賠償請求　１</w:t>
                  </w:r>
                  <w:r w:rsidR="002B1A3B">
                    <w:rPr>
                      <w:rFonts w:ascii="ＭＳ ゴシック" w:eastAsia="ＭＳ ゴシック" w:hAnsi="ＭＳ ゴシック" w:cs="ＭＳ Ｐゴシック" w:hint="eastAsia"/>
                      <w:kern w:val="0"/>
                      <w:sz w:val="22"/>
                    </w:rPr>
                    <w:t>２百</w:t>
                  </w:r>
                  <w:r w:rsidRPr="003367A8">
                    <w:rPr>
                      <w:rFonts w:ascii="ＭＳ ゴシック" w:eastAsia="ＭＳ ゴシック" w:hAnsi="ＭＳ ゴシック" w:cs="ＭＳ Ｐゴシック" w:hint="eastAsia"/>
                      <w:kern w:val="0"/>
                      <w:sz w:val="22"/>
                    </w:rPr>
                    <w:t>万円</w:t>
                  </w:r>
                </w:p>
              </w:tc>
            </w:tr>
            <w:tr w:rsidR="00516BD9" w:rsidRPr="003367A8" w:rsidTr="004A308A">
              <w:trPr>
                <w:trHeight w:val="270"/>
              </w:trPr>
              <w:tc>
                <w:tcPr>
                  <w:tcW w:w="10660" w:type="dxa"/>
                  <w:tcBorders>
                    <w:top w:val="nil"/>
                    <w:left w:val="nil"/>
                    <w:bottom w:val="nil"/>
                    <w:right w:val="nil"/>
                  </w:tcBorders>
                  <w:shd w:val="clear" w:color="auto" w:fill="auto"/>
                  <w:noWrap/>
                  <w:vAlign w:val="center"/>
                  <w:hideMark/>
                </w:tcPr>
                <w:p w:rsidR="00516BD9" w:rsidRDefault="00516BD9" w:rsidP="00E80112">
                  <w:pPr>
                    <w:pStyle w:val="a3"/>
                    <w:widowControl/>
                    <w:numPr>
                      <w:ilvl w:val="0"/>
                      <w:numId w:val="9"/>
                    </w:numPr>
                    <w:ind w:leftChars="0" w:left="668" w:hanging="389"/>
                    <w:jc w:val="left"/>
                    <w:rPr>
                      <w:rFonts w:ascii="ＭＳ ゴシック" w:eastAsia="ＭＳ ゴシック" w:hAnsi="ＭＳ ゴシック" w:cs="ＭＳ Ｐゴシック"/>
                      <w:kern w:val="0"/>
                      <w:sz w:val="22"/>
                    </w:rPr>
                  </w:pPr>
                  <w:r w:rsidRPr="003367A8">
                    <w:rPr>
                      <w:rFonts w:ascii="ＭＳ ゴシック" w:eastAsia="ＭＳ ゴシック" w:hAnsi="ＭＳ ゴシック" w:cs="ＭＳ Ｐゴシック" w:hint="eastAsia"/>
                      <w:kern w:val="0"/>
                      <w:sz w:val="22"/>
                    </w:rPr>
                    <w:t>区有施設における利用者の死亡に係る損害賠償請求　１０</w:t>
                  </w:r>
                  <w:r w:rsidR="002B1A3B">
                    <w:rPr>
                      <w:rFonts w:ascii="ＭＳ ゴシック" w:eastAsia="ＭＳ ゴシック" w:hAnsi="ＭＳ ゴシック" w:cs="ＭＳ Ｐゴシック" w:hint="eastAsia"/>
                      <w:kern w:val="0"/>
                      <w:sz w:val="22"/>
                    </w:rPr>
                    <w:t>百</w:t>
                  </w:r>
                  <w:r w:rsidRPr="003367A8">
                    <w:rPr>
                      <w:rFonts w:ascii="ＭＳ ゴシック" w:eastAsia="ＭＳ ゴシック" w:hAnsi="ＭＳ ゴシック" w:cs="ＭＳ Ｐゴシック" w:hint="eastAsia"/>
                      <w:kern w:val="0"/>
                      <w:sz w:val="22"/>
                    </w:rPr>
                    <w:t>万円</w:t>
                  </w:r>
                </w:p>
                <w:p w:rsidR="00F2078E" w:rsidRPr="003367A8" w:rsidRDefault="00F2078E" w:rsidP="00F2078E">
                  <w:pPr>
                    <w:pStyle w:val="a3"/>
                    <w:widowControl/>
                    <w:ind w:leftChars="0" w:left="825"/>
                    <w:jc w:val="left"/>
                    <w:rPr>
                      <w:rFonts w:ascii="ＭＳ ゴシック" w:eastAsia="ＭＳ ゴシック" w:hAnsi="ＭＳ ゴシック" w:cs="ＭＳ Ｐゴシック"/>
                      <w:kern w:val="0"/>
                      <w:sz w:val="22"/>
                    </w:rPr>
                  </w:pPr>
                </w:p>
              </w:tc>
            </w:tr>
          </w:tbl>
          <w:p w:rsidR="00516BD9" w:rsidRPr="00516BD9" w:rsidRDefault="00516BD9" w:rsidP="00444DF7">
            <w:pPr>
              <w:widowControl/>
              <w:jc w:val="left"/>
              <w:rPr>
                <w:rFonts w:ascii="ＭＳ ゴシック" w:eastAsia="ＭＳ ゴシック" w:hAnsi="ＭＳ ゴシック" w:cs="ＭＳ Ｐゴシック"/>
                <w:kern w:val="0"/>
                <w:sz w:val="22"/>
              </w:rPr>
            </w:pPr>
          </w:p>
        </w:tc>
        <w:bookmarkStart w:id="0" w:name="_GoBack"/>
        <w:bookmarkEnd w:id="0"/>
      </w:tr>
      <w:tr w:rsidR="0032649E" w:rsidRPr="0032649E" w:rsidTr="00463C93">
        <w:trPr>
          <w:trHeight w:val="270"/>
        </w:trPr>
        <w:tc>
          <w:tcPr>
            <w:tcW w:w="5000" w:type="pct"/>
            <w:tcBorders>
              <w:top w:val="nil"/>
              <w:left w:val="nil"/>
              <w:bottom w:val="nil"/>
              <w:right w:val="nil"/>
            </w:tcBorders>
            <w:shd w:val="clear" w:color="auto" w:fill="auto"/>
            <w:hideMark/>
          </w:tcPr>
          <w:p w:rsidR="00CD1345" w:rsidRPr="0032649E" w:rsidRDefault="00CD1345" w:rsidP="00444DF7">
            <w:pPr>
              <w:widowControl/>
              <w:jc w:val="left"/>
              <w:rPr>
                <w:rFonts w:ascii="ＭＳ ゴシック" w:eastAsia="ＭＳ ゴシック" w:hAnsi="ＭＳ ゴシック" w:cs="ＭＳ Ｐゴシック"/>
                <w:kern w:val="0"/>
                <w:sz w:val="22"/>
              </w:rPr>
            </w:pPr>
            <w:r w:rsidRPr="0032649E">
              <w:rPr>
                <w:rFonts w:ascii="ＭＳ ゴシック" w:eastAsia="ＭＳ ゴシック" w:hAnsi="ＭＳ ゴシック" w:cs="ＭＳ Ｐゴシック" w:hint="eastAsia"/>
                <w:kern w:val="0"/>
                <w:sz w:val="22"/>
              </w:rPr>
              <w:t>５</w:t>
            </w:r>
            <w:r w:rsidR="00444DF7" w:rsidRPr="0032649E">
              <w:rPr>
                <w:rFonts w:ascii="ＭＳ ゴシック" w:eastAsia="ＭＳ ゴシック" w:hAnsi="ＭＳ ゴシック" w:cs="ＭＳ Ｐゴシック" w:hint="eastAsia"/>
                <w:kern w:val="0"/>
                <w:sz w:val="22"/>
              </w:rPr>
              <w:t xml:space="preserve">　</w:t>
            </w:r>
            <w:r w:rsidRPr="0032649E">
              <w:rPr>
                <w:rFonts w:ascii="ＭＳ ゴシック" w:eastAsia="ＭＳ ゴシック" w:hAnsi="ＭＳ ゴシック" w:cs="ＭＳ Ｐゴシック" w:hint="eastAsia"/>
                <w:kern w:val="0"/>
                <w:sz w:val="22"/>
              </w:rPr>
              <w:t>追加情報</w:t>
            </w:r>
          </w:p>
          <w:p w:rsidR="000E3D75" w:rsidRPr="0032649E" w:rsidRDefault="000E3D75" w:rsidP="000E3D75">
            <w:pPr>
              <w:pStyle w:val="a3"/>
              <w:widowControl/>
              <w:numPr>
                <w:ilvl w:val="0"/>
                <w:numId w:val="8"/>
              </w:numPr>
              <w:ind w:leftChars="0"/>
              <w:jc w:val="left"/>
              <w:rPr>
                <w:rFonts w:ascii="ＭＳ ゴシック" w:eastAsia="ＭＳ ゴシック" w:hAnsi="ＭＳ ゴシック" w:cs="ＭＳ Ｐゴシック"/>
                <w:kern w:val="0"/>
                <w:sz w:val="22"/>
              </w:rPr>
            </w:pPr>
            <w:r w:rsidRPr="0032649E">
              <w:rPr>
                <w:rFonts w:ascii="ＭＳ ゴシック" w:eastAsia="ＭＳ ゴシック" w:hAnsi="ＭＳ ゴシック" w:cs="ＭＳ Ｐゴシック" w:hint="eastAsia"/>
                <w:kern w:val="0"/>
                <w:sz w:val="22"/>
              </w:rPr>
              <w:t>財務書類の内容を理解するために必要と認められる事項</w:t>
            </w:r>
          </w:p>
          <w:p w:rsidR="000E3D75" w:rsidRPr="0032649E" w:rsidRDefault="000E3D75" w:rsidP="000E3D75">
            <w:pPr>
              <w:pStyle w:val="a3"/>
              <w:widowControl/>
              <w:numPr>
                <w:ilvl w:val="0"/>
                <w:numId w:val="7"/>
              </w:numPr>
              <w:ind w:leftChars="0"/>
              <w:jc w:val="left"/>
              <w:rPr>
                <w:rFonts w:ascii="ＭＳ ゴシック" w:eastAsia="ＭＳ ゴシック" w:hAnsi="ＭＳ ゴシック" w:cs="ＭＳ Ｐゴシック"/>
                <w:kern w:val="0"/>
                <w:sz w:val="22"/>
              </w:rPr>
            </w:pPr>
            <w:r w:rsidRPr="0032649E">
              <w:rPr>
                <w:rFonts w:ascii="ＭＳ ゴシック" w:eastAsia="ＭＳ ゴシック" w:hAnsi="ＭＳ ゴシック" w:cs="ＭＳ Ｐゴシック" w:hint="eastAsia"/>
                <w:kern w:val="0"/>
                <w:sz w:val="22"/>
              </w:rPr>
              <w:t>対象範囲（対象とする会計</w:t>
            </w:r>
            <w:r w:rsidR="0032649E" w:rsidRPr="0032649E">
              <w:rPr>
                <w:rFonts w:ascii="ＭＳ ゴシック" w:eastAsia="ＭＳ ゴシック" w:hAnsi="ＭＳ ゴシック" w:cs="ＭＳ Ｐゴシック" w:hint="eastAsia"/>
                <w:kern w:val="0"/>
                <w:sz w:val="22"/>
              </w:rPr>
              <w:t>・団体</w:t>
            </w:r>
            <w:r w:rsidRPr="0032649E">
              <w:rPr>
                <w:rFonts w:ascii="ＭＳ ゴシック" w:eastAsia="ＭＳ ゴシック" w:hAnsi="ＭＳ ゴシック" w:cs="ＭＳ Ｐゴシック" w:hint="eastAsia"/>
                <w:kern w:val="0"/>
                <w:sz w:val="22"/>
              </w:rPr>
              <w:t>名）</w:t>
            </w:r>
          </w:p>
          <w:p w:rsidR="000E3D75" w:rsidRPr="0032649E" w:rsidRDefault="00923683" w:rsidP="00F2078E">
            <w:pPr>
              <w:widowControl/>
              <w:ind w:leftChars="400" w:left="840" w:firstLineChars="100" w:firstLine="220"/>
              <w:jc w:val="left"/>
              <w:rPr>
                <w:rFonts w:ascii="ＭＳ ゴシック" w:eastAsia="ＭＳ ゴシック" w:hAnsi="ＭＳ ゴシック" w:cs="ＭＳ Ｐゴシック"/>
                <w:kern w:val="0"/>
                <w:sz w:val="22"/>
              </w:rPr>
            </w:pPr>
            <w:r w:rsidRPr="0032649E">
              <w:rPr>
                <w:rFonts w:ascii="ＭＳ ゴシック" w:eastAsia="ＭＳ ゴシック" w:hAnsi="ＭＳ ゴシック" w:cs="ＭＳ Ｐゴシック" w:hint="eastAsia"/>
                <w:kern w:val="0"/>
                <w:sz w:val="22"/>
              </w:rPr>
              <w:t>他の自治体と事務を共同処理するための一部事務組合、区が出資して事業を行っている第三セクターを連結対象としています。</w:t>
            </w:r>
          </w:p>
        </w:tc>
      </w:tr>
      <w:tr w:rsidR="00923683" w:rsidRPr="00CD1345" w:rsidTr="00463C93">
        <w:trPr>
          <w:trHeight w:val="290"/>
        </w:trPr>
        <w:tc>
          <w:tcPr>
            <w:tcW w:w="5000" w:type="pct"/>
            <w:tcBorders>
              <w:top w:val="nil"/>
              <w:left w:val="nil"/>
              <w:bottom w:val="nil"/>
              <w:right w:val="nil"/>
            </w:tcBorders>
            <w:shd w:val="clear" w:color="auto" w:fill="auto"/>
            <w:hideMark/>
          </w:tcPr>
          <w:p w:rsidR="00923683" w:rsidRPr="00923683" w:rsidRDefault="00923683" w:rsidP="00923683">
            <w:pPr>
              <w:widowControl/>
              <w:ind w:firstLineChars="500" w:firstLine="110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港区役所 一般会計 ： 全部連結</w:t>
            </w:r>
          </w:p>
        </w:tc>
      </w:tr>
      <w:tr w:rsidR="00923683" w:rsidRPr="00CD1345" w:rsidTr="00463C93">
        <w:trPr>
          <w:trHeight w:val="352"/>
        </w:trPr>
        <w:tc>
          <w:tcPr>
            <w:tcW w:w="5000" w:type="pct"/>
            <w:tcBorders>
              <w:top w:val="nil"/>
              <w:left w:val="nil"/>
              <w:bottom w:val="nil"/>
              <w:right w:val="nil"/>
            </w:tcBorders>
            <w:shd w:val="clear" w:color="auto" w:fill="auto"/>
            <w:hideMark/>
          </w:tcPr>
          <w:p w:rsidR="00923683" w:rsidRPr="00CD1345" w:rsidRDefault="00923683" w:rsidP="00923683">
            <w:pPr>
              <w:widowControl/>
              <w:ind w:firstLineChars="500" w:firstLine="110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港区役所 国民健康保険事業会計 ： 全部連結</w:t>
            </w:r>
          </w:p>
        </w:tc>
      </w:tr>
      <w:tr w:rsidR="00923683" w:rsidRPr="00CD1345" w:rsidTr="00463C93">
        <w:trPr>
          <w:trHeight w:val="270"/>
        </w:trPr>
        <w:tc>
          <w:tcPr>
            <w:tcW w:w="5000" w:type="pct"/>
            <w:tcBorders>
              <w:top w:val="nil"/>
              <w:left w:val="nil"/>
              <w:bottom w:val="nil"/>
              <w:right w:val="nil"/>
            </w:tcBorders>
            <w:shd w:val="clear" w:color="auto" w:fill="auto"/>
            <w:hideMark/>
          </w:tcPr>
          <w:p w:rsidR="00923683" w:rsidRPr="00CD1345" w:rsidRDefault="00923683" w:rsidP="00CD1345">
            <w:pPr>
              <w:widowControl/>
              <w:ind w:firstLineChars="500" w:firstLine="110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港区役所 後期高齢者医療事業会計 ： 全部連結</w:t>
            </w:r>
          </w:p>
        </w:tc>
      </w:tr>
      <w:tr w:rsidR="00923683" w:rsidRPr="00CD1345" w:rsidTr="00463C93">
        <w:trPr>
          <w:trHeight w:val="270"/>
        </w:trPr>
        <w:tc>
          <w:tcPr>
            <w:tcW w:w="5000" w:type="pct"/>
            <w:tcBorders>
              <w:top w:val="nil"/>
              <w:left w:val="nil"/>
              <w:bottom w:val="nil"/>
              <w:right w:val="nil"/>
            </w:tcBorders>
            <w:shd w:val="clear" w:color="auto" w:fill="auto"/>
            <w:hideMark/>
          </w:tcPr>
          <w:p w:rsidR="00923683" w:rsidRPr="00CD1345" w:rsidRDefault="00923683" w:rsidP="00CD1345">
            <w:pPr>
              <w:widowControl/>
              <w:ind w:firstLineChars="500" w:firstLine="110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港区役所 介護保険事業会計（保険事業勘定） ： 全部連結</w:t>
            </w:r>
          </w:p>
        </w:tc>
      </w:tr>
      <w:tr w:rsidR="00923683" w:rsidRPr="00CD1345" w:rsidTr="00463C93">
        <w:trPr>
          <w:trHeight w:val="270"/>
        </w:trPr>
        <w:tc>
          <w:tcPr>
            <w:tcW w:w="5000" w:type="pct"/>
            <w:tcBorders>
              <w:top w:val="nil"/>
              <w:left w:val="nil"/>
              <w:bottom w:val="nil"/>
              <w:right w:val="nil"/>
            </w:tcBorders>
            <w:shd w:val="clear" w:color="auto" w:fill="auto"/>
            <w:hideMark/>
          </w:tcPr>
          <w:p w:rsidR="00923683" w:rsidRPr="00CD1345" w:rsidRDefault="00923683" w:rsidP="00CD1345">
            <w:pPr>
              <w:widowControl/>
              <w:ind w:firstLineChars="500" w:firstLine="110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一部事務組合・広域連合 特別区人事・厚生事務組合 ： 比例連結</w:t>
            </w:r>
            <w:r w:rsidRPr="00CD1345">
              <w:rPr>
                <w:rFonts w:ascii="ＭＳ ゴシック" w:eastAsia="ＭＳ ゴシック" w:hAnsi="ＭＳ ゴシック" w:cs="ＭＳ Ｐゴシック" w:hint="eastAsia"/>
                <w:color w:val="000000"/>
                <w:kern w:val="0"/>
                <w:sz w:val="22"/>
              </w:rPr>
              <w:t>（4.28％）</w:t>
            </w:r>
          </w:p>
        </w:tc>
      </w:tr>
      <w:tr w:rsidR="00923683" w:rsidRPr="00CD1345" w:rsidTr="00463C93">
        <w:trPr>
          <w:trHeight w:val="270"/>
        </w:trPr>
        <w:tc>
          <w:tcPr>
            <w:tcW w:w="5000" w:type="pct"/>
            <w:tcBorders>
              <w:top w:val="nil"/>
              <w:left w:val="nil"/>
              <w:bottom w:val="nil"/>
              <w:right w:val="nil"/>
            </w:tcBorders>
            <w:shd w:val="clear" w:color="auto" w:fill="auto"/>
            <w:hideMark/>
          </w:tcPr>
          <w:p w:rsidR="00923683" w:rsidRPr="00CD1345" w:rsidRDefault="00923683" w:rsidP="00CD1345">
            <w:pPr>
              <w:widowControl/>
              <w:ind w:firstLineChars="500" w:firstLine="1100"/>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color w:val="000000"/>
                <w:kern w:val="0"/>
                <w:sz w:val="22"/>
              </w:rPr>
              <w:t>一部事務組合・広域連合 特別区競馬組合 ： 比例連結（4.348%）</w:t>
            </w:r>
          </w:p>
        </w:tc>
      </w:tr>
      <w:tr w:rsidR="00923683" w:rsidRPr="000248A5" w:rsidTr="00463C93">
        <w:trPr>
          <w:trHeight w:val="270"/>
        </w:trPr>
        <w:tc>
          <w:tcPr>
            <w:tcW w:w="5000" w:type="pct"/>
            <w:tcBorders>
              <w:top w:val="nil"/>
              <w:left w:val="nil"/>
              <w:bottom w:val="nil"/>
              <w:right w:val="nil"/>
            </w:tcBorders>
            <w:shd w:val="clear" w:color="auto" w:fill="auto"/>
            <w:hideMark/>
          </w:tcPr>
          <w:p w:rsidR="00923683" w:rsidRPr="000248A5" w:rsidRDefault="00923683" w:rsidP="000248A5">
            <w:pPr>
              <w:widowControl/>
              <w:ind w:firstLineChars="500" w:firstLine="1100"/>
              <w:jc w:val="left"/>
              <w:rPr>
                <w:rFonts w:ascii="ＭＳ ゴシック" w:eastAsia="ＭＳ ゴシック" w:hAnsi="ＭＳ ゴシック" w:cs="ＭＳ Ｐゴシック"/>
                <w:kern w:val="0"/>
                <w:sz w:val="22"/>
              </w:rPr>
            </w:pPr>
            <w:r w:rsidRPr="000248A5">
              <w:rPr>
                <w:rFonts w:ascii="ＭＳ ゴシック" w:eastAsia="ＭＳ ゴシック" w:hAnsi="ＭＳ ゴシック" w:cs="ＭＳ Ｐゴシック" w:hint="eastAsia"/>
                <w:color w:val="000000"/>
                <w:kern w:val="0"/>
                <w:sz w:val="22"/>
              </w:rPr>
              <w:t>一部事務組合・広域連合 臨海部広域斎場組合 ： 比例連結（7.</w:t>
            </w:r>
            <w:r w:rsidR="000248A5" w:rsidRPr="000248A5">
              <w:rPr>
                <w:rFonts w:ascii="ＭＳ ゴシック" w:eastAsia="ＭＳ ゴシック" w:hAnsi="ＭＳ ゴシック" w:cs="ＭＳ Ｐゴシック" w:hint="eastAsia"/>
                <w:color w:val="000000"/>
                <w:kern w:val="0"/>
                <w:sz w:val="22"/>
              </w:rPr>
              <w:t>642</w:t>
            </w:r>
            <w:r w:rsidRPr="000248A5">
              <w:rPr>
                <w:rFonts w:ascii="ＭＳ ゴシック" w:eastAsia="ＭＳ ゴシック" w:hAnsi="ＭＳ ゴシック" w:cs="ＭＳ Ｐゴシック" w:hint="eastAsia"/>
                <w:color w:val="000000"/>
                <w:kern w:val="0"/>
                <w:sz w:val="22"/>
              </w:rPr>
              <w:t>%）</w:t>
            </w:r>
          </w:p>
        </w:tc>
      </w:tr>
      <w:tr w:rsidR="00923683" w:rsidRPr="00CD1345" w:rsidTr="00463C93">
        <w:trPr>
          <w:trHeight w:val="270"/>
        </w:trPr>
        <w:tc>
          <w:tcPr>
            <w:tcW w:w="5000" w:type="pct"/>
            <w:tcBorders>
              <w:top w:val="nil"/>
              <w:left w:val="nil"/>
              <w:bottom w:val="nil"/>
              <w:right w:val="nil"/>
            </w:tcBorders>
            <w:shd w:val="clear" w:color="auto" w:fill="auto"/>
            <w:hideMark/>
          </w:tcPr>
          <w:p w:rsidR="00923683" w:rsidRPr="00CD1345" w:rsidRDefault="00923683" w:rsidP="00CD1345">
            <w:pPr>
              <w:widowControl/>
              <w:ind w:firstLineChars="500" w:firstLine="1100"/>
              <w:jc w:val="left"/>
              <w:rPr>
                <w:rFonts w:ascii="ＭＳ ゴシック" w:eastAsia="ＭＳ ゴシック" w:hAnsi="ＭＳ ゴシック" w:cs="ＭＳ Ｐゴシック"/>
                <w:color w:val="000000"/>
                <w:kern w:val="0"/>
                <w:sz w:val="22"/>
              </w:rPr>
            </w:pPr>
            <w:r w:rsidRPr="00CD1345">
              <w:rPr>
                <w:rFonts w:ascii="ＭＳ ゴシック" w:eastAsia="ＭＳ ゴシック" w:hAnsi="ＭＳ ゴシック" w:cs="ＭＳ Ｐゴシック" w:hint="eastAsia"/>
                <w:color w:val="000000"/>
                <w:kern w:val="0"/>
                <w:sz w:val="22"/>
              </w:rPr>
              <w:t>一部事務組合・広域連合 東京二十三区清掃一部事務組合 ： 比例連結（3.3824380%）</w:t>
            </w:r>
          </w:p>
        </w:tc>
      </w:tr>
      <w:tr w:rsidR="00923683" w:rsidRPr="00CD1345" w:rsidTr="00463C93">
        <w:trPr>
          <w:trHeight w:val="270"/>
        </w:trPr>
        <w:tc>
          <w:tcPr>
            <w:tcW w:w="5000" w:type="pct"/>
            <w:tcBorders>
              <w:top w:val="nil"/>
              <w:left w:val="nil"/>
              <w:bottom w:val="nil"/>
              <w:right w:val="nil"/>
            </w:tcBorders>
            <w:shd w:val="clear" w:color="auto" w:fill="auto"/>
            <w:hideMark/>
          </w:tcPr>
          <w:p w:rsidR="00923683" w:rsidRPr="00CD1345" w:rsidRDefault="00923683" w:rsidP="000248A5">
            <w:pPr>
              <w:widowControl/>
              <w:ind w:firstLineChars="500" w:firstLine="1100"/>
              <w:jc w:val="left"/>
              <w:rPr>
                <w:rFonts w:ascii="ＭＳ ゴシック" w:eastAsia="ＭＳ ゴシック" w:hAnsi="ＭＳ ゴシック" w:cs="ＭＳ Ｐゴシック"/>
                <w:color w:val="000000"/>
                <w:kern w:val="0"/>
                <w:sz w:val="22"/>
              </w:rPr>
            </w:pPr>
            <w:r w:rsidRPr="000248A5">
              <w:rPr>
                <w:rFonts w:ascii="ＭＳ ゴシック" w:eastAsia="ＭＳ ゴシック" w:hAnsi="ＭＳ ゴシック" w:cs="ＭＳ Ｐゴシック" w:hint="eastAsia"/>
                <w:color w:val="000000"/>
                <w:kern w:val="0"/>
                <w:sz w:val="22"/>
              </w:rPr>
              <w:t>一部事務組合・広域連合 東京都後期高齢者医療広域連合 ： 比例連結（1.7</w:t>
            </w:r>
            <w:r w:rsidR="000248A5" w:rsidRPr="000248A5">
              <w:rPr>
                <w:rFonts w:ascii="ＭＳ ゴシック" w:eastAsia="ＭＳ ゴシック" w:hAnsi="ＭＳ ゴシック" w:cs="ＭＳ Ｐゴシック" w:hint="eastAsia"/>
                <w:color w:val="000000"/>
                <w:kern w:val="0"/>
                <w:sz w:val="22"/>
              </w:rPr>
              <w:t>78</w:t>
            </w:r>
            <w:r w:rsidRPr="000248A5">
              <w:rPr>
                <w:rFonts w:ascii="ＭＳ ゴシック" w:eastAsia="ＭＳ ゴシック" w:hAnsi="ＭＳ ゴシック" w:cs="ＭＳ Ｐゴシック" w:hint="eastAsia"/>
                <w:color w:val="000000"/>
                <w:kern w:val="0"/>
                <w:sz w:val="22"/>
              </w:rPr>
              <w:t>%）</w:t>
            </w:r>
          </w:p>
        </w:tc>
      </w:tr>
      <w:tr w:rsidR="00FC005E" w:rsidRPr="00CD1345" w:rsidTr="00463C93">
        <w:trPr>
          <w:trHeight w:val="270"/>
        </w:trPr>
        <w:tc>
          <w:tcPr>
            <w:tcW w:w="5000" w:type="pct"/>
            <w:tcBorders>
              <w:top w:val="nil"/>
              <w:left w:val="nil"/>
              <w:bottom w:val="nil"/>
              <w:right w:val="nil"/>
            </w:tcBorders>
            <w:shd w:val="clear" w:color="auto" w:fill="auto"/>
          </w:tcPr>
          <w:p w:rsidR="00FC005E" w:rsidRPr="00CD1345" w:rsidRDefault="00FC005E" w:rsidP="00CD1345">
            <w:pPr>
              <w:widowControl/>
              <w:ind w:firstLineChars="500" w:firstLine="1100"/>
              <w:jc w:val="left"/>
              <w:rPr>
                <w:rFonts w:ascii="ＭＳ ゴシック" w:eastAsia="ＭＳ ゴシック" w:hAnsi="ＭＳ ゴシック" w:cs="ＭＳ Ｐゴシック"/>
                <w:color w:val="000000"/>
                <w:kern w:val="0"/>
                <w:sz w:val="22"/>
              </w:rPr>
            </w:pPr>
            <w:r w:rsidRPr="00CD1345">
              <w:rPr>
                <w:rFonts w:ascii="ＭＳ ゴシック" w:eastAsia="ＭＳ ゴシック" w:hAnsi="ＭＳ ゴシック" w:cs="ＭＳ Ｐゴシック" w:hint="eastAsia"/>
                <w:kern w:val="0"/>
                <w:sz w:val="22"/>
              </w:rPr>
              <w:t>第三セクター 港区スポーツふれあい文化健康財団 ： 全部連結</w:t>
            </w:r>
          </w:p>
        </w:tc>
      </w:tr>
      <w:tr w:rsidR="0032649E" w:rsidRPr="0032649E" w:rsidTr="00463C93">
        <w:trPr>
          <w:trHeight w:val="270"/>
        </w:trPr>
        <w:tc>
          <w:tcPr>
            <w:tcW w:w="5000" w:type="pct"/>
            <w:tcBorders>
              <w:top w:val="nil"/>
              <w:left w:val="nil"/>
              <w:bottom w:val="nil"/>
              <w:right w:val="nil"/>
            </w:tcBorders>
            <w:shd w:val="clear" w:color="auto" w:fill="auto"/>
            <w:hideMark/>
          </w:tcPr>
          <w:p w:rsidR="00FC005E" w:rsidRDefault="00FC005E" w:rsidP="00CD1345">
            <w:pPr>
              <w:widowControl/>
              <w:ind w:firstLineChars="500" w:firstLine="1100"/>
              <w:jc w:val="left"/>
              <w:rPr>
                <w:rFonts w:ascii="ＭＳ ゴシック" w:eastAsia="ＭＳ ゴシック" w:hAnsi="ＭＳ ゴシック" w:cs="ＭＳ Ｐゴシック"/>
                <w:kern w:val="0"/>
                <w:sz w:val="22"/>
              </w:rPr>
            </w:pPr>
            <w:r w:rsidRPr="0032649E">
              <w:rPr>
                <w:rFonts w:ascii="ＭＳ ゴシック" w:eastAsia="ＭＳ ゴシック" w:hAnsi="ＭＳ ゴシック" w:cs="ＭＳ Ｐゴシック" w:hint="eastAsia"/>
                <w:kern w:val="0"/>
                <w:sz w:val="22"/>
              </w:rPr>
              <w:t>第三セクター 港区社会福祉協議会 ： 全部連結</w:t>
            </w:r>
          </w:p>
          <w:p w:rsidR="00EB082E" w:rsidRDefault="00EB082E" w:rsidP="00F2078E">
            <w:pPr>
              <w:widowControl/>
              <w:ind w:left="880" w:hangingChars="400" w:hanging="880"/>
              <w:jc w:val="left"/>
              <w:rPr>
                <w:rFonts w:ascii="ＭＳ ゴシック" w:eastAsia="ＭＳ ゴシック" w:hAnsi="ＭＳ ゴシック" w:cs="ＭＳ Ｐゴシック"/>
                <w:kern w:val="0"/>
                <w:sz w:val="22"/>
              </w:rPr>
            </w:pPr>
            <w:r>
              <w:rPr>
                <w:rFonts w:ascii="ＭＳ ゴシック" w:eastAsia="ＭＳ ゴシック" w:hAnsi="ＭＳ ゴシック" w:cs="ＭＳ Ｐゴシック" w:hint="eastAsia"/>
                <w:kern w:val="0"/>
                <w:sz w:val="22"/>
              </w:rPr>
              <w:t xml:space="preserve">　　　　</w:t>
            </w:r>
            <w:r w:rsidR="00F2078E">
              <w:rPr>
                <w:rFonts w:ascii="ＭＳ ゴシック" w:eastAsia="ＭＳ ゴシック" w:hAnsi="ＭＳ ゴシック" w:cs="ＭＳ Ｐゴシック" w:hint="eastAsia"/>
                <w:kern w:val="0"/>
                <w:sz w:val="22"/>
              </w:rPr>
              <w:t xml:space="preserve">　</w:t>
            </w:r>
            <w:r>
              <w:rPr>
                <w:rFonts w:ascii="ＭＳ ゴシック" w:eastAsia="ＭＳ ゴシック" w:hAnsi="ＭＳ ゴシック" w:cs="ＭＳ Ｐゴシック" w:hint="eastAsia"/>
                <w:kern w:val="0"/>
                <w:sz w:val="22"/>
              </w:rPr>
              <w:t>港区住宅公社は、平成30年7月6日に清算結了したため当年度から対象範囲に含めておりません。ただし、清算結了時までの行政コスト計算書、純資産変動計算書、及び資金収支計算書は連結しております。</w:t>
            </w:r>
          </w:p>
          <w:p w:rsidR="00FC005E" w:rsidRPr="0032649E" w:rsidRDefault="00FC005E" w:rsidP="00FC005E">
            <w:pPr>
              <w:pStyle w:val="a3"/>
              <w:widowControl/>
              <w:numPr>
                <w:ilvl w:val="0"/>
                <w:numId w:val="7"/>
              </w:numPr>
              <w:ind w:leftChars="0"/>
              <w:jc w:val="left"/>
              <w:rPr>
                <w:rFonts w:ascii="ＭＳ ゴシック" w:eastAsia="ＭＳ ゴシック" w:hAnsi="ＭＳ ゴシック" w:cs="ＭＳ Ｐゴシック"/>
                <w:kern w:val="0"/>
                <w:sz w:val="22"/>
              </w:rPr>
            </w:pPr>
            <w:r w:rsidRPr="0032649E">
              <w:rPr>
                <w:rFonts w:ascii="ＭＳ ゴシック" w:eastAsia="ＭＳ ゴシック" w:hAnsi="ＭＳ ゴシック" w:cs="ＭＳ Ｐゴシック" w:hint="eastAsia"/>
                <w:kern w:val="0"/>
                <w:sz w:val="22"/>
              </w:rPr>
              <w:t>財務書類の作成基準日及び出納整理期間</w:t>
            </w:r>
          </w:p>
        </w:tc>
      </w:tr>
      <w:tr w:rsidR="00FC005E" w:rsidRPr="00EB082E" w:rsidTr="00463C93">
        <w:trPr>
          <w:trHeight w:val="270"/>
        </w:trPr>
        <w:tc>
          <w:tcPr>
            <w:tcW w:w="5000" w:type="pct"/>
            <w:tcBorders>
              <w:top w:val="nil"/>
              <w:left w:val="nil"/>
              <w:bottom w:val="nil"/>
              <w:right w:val="nil"/>
            </w:tcBorders>
            <w:shd w:val="clear" w:color="auto" w:fill="auto"/>
            <w:hideMark/>
          </w:tcPr>
          <w:p w:rsidR="00FC005E" w:rsidRDefault="00FC005E" w:rsidP="00E80112">
            <w:pPr>
              <w:widowControl/>
              <w:ind w:leftChars="400" w:left="840" w:firstLineChars="108" w:firstLine="238"/>
              <w:jc w:val="left"/>
              <w:rPr>
                <w:rFonts w:ascii="ＭＳ ゴシック" w:eastAsia="ＭＳ ゴシック" w:hAnsi="ＭＳ ゴシック" w:cs="ＭＳ Ｐゴシック"/>
                <w:kern w:val="0"/>
                <w:sz w:val="22"/>
              </w:rPr>
            </w:pPr>
            <w:r w:rsidRPr="00CD1345">
              <w:rPr>
                <w:rFonts w:ascii="ＭＳ ゴシック" w:eastAsia="ＭＳ ゴシック" w:hAnsi="ＭＳ ゴシック" w:cs="ＭＳ Ｐゴシック" w:hint="eastAsia"/>
                <w:kern w:val="0"/>
                <w:sz w:val="22"/>
              </w:rPr>
              <w:t>財務書類の作成基準日（以下「基準日」という。）は、会計年度末（３月３１日）とします。ただし、会計年度末から地方自治法（昭和２２年法律第６７号）第２３５条の５に</w:t>
            </w:r>
            <w:r w:rsidRPr="00CD1345">
              <w:rPr>
                <w:rFonts w:ascii="ＭＳ ゴシック" w:eastAsia="ＭＳ ゴシック" w:hAnsi="ＭＳ ゴシック" w:cs="ＭＳ Ｐゴシック" w:hint="eastAsia"/>
                <w:kern w:val="0"/>
                <w:sz w:val="22"/>
              </w:rPr>
              <w:lastRenderedPageBreak/>
              <w:t>定める出納の閉鎖までの期間における歳入及び歳出並びにそれに伴う資産及び負債の増減等を反映した後の数値をもって会計年度末の数値とします。(港区財務書類作成基準第３条)</w:t>
            </w:r>
          </w:p>
          <w:p w:rsidR="00EB082E" w:rsidRPr="007928AD" w:rsidRDefault="00FC005E" w:rsidP="00923683">
            <w:pPr>
              <w:pStyle w:val="a3"/>
              <w:widowControl/>
              <w:numPr>
                <w:ilvl w:val="0"/>
                <w:numId w:val="7"/>
              </w:numPr>
              <w:ind w:leftChars="0"/>
              <w:jc w:val="left"/>
              <w:rPr>
                <w:rFonts w:ascii="ＭＳ ゴシック" w:eastAsia="ＭＳ ゴシック" w:hAnsi="ＭＳ ゴシック" w:cs="ＭＳ Ｐゴシック"/>
                <w:kern w:val="0"/>
                <w:sz w:val="22"/>
              </w:rPr>
            </w:pPr>
            <w:r w:rsidRPr="007928AD">
              <w:rPr>
                <w:rFonts w:ascii="ＭＳ ゴシック" w:eastAsia="ＭＳ ゴシック" w:hAnsi="ＭＳ ゴシック" w:cs="ＭＳ Ｐゴシック" w:hint="eastAsia"/>
                <w:kern w:val="0"/>
                <w:sz w:val="22"/>
              </w:rPr>
              <w:t>なお、出納整理期間を設けていない団体（会計）と出納整理期間を設けている団体（会計）</w:t>
            </w:r>
          </w:p>
          <w:p w:rsidR="00FC005E" w:rsidRPr="00EB082E" w:rsidRDefault="00FC005E" w:rsidP="00EB082E">
            <w:pPr>
              <w:widowControl/>
              <w:ind w:leftChars="300" w:left="630"/>
              <w:jc w:val="left"/>
              <w:rPr>
                <w:rFonts w:ascii="ＭＳ ゴシック" w:eastAsia="ＭＳ ゴシック" w:hAnsi="ＭＳ ゴシック" w:cs="ＭＳ Ｐゴシック"/>
                <w:kern w:val="0"/>
                <w:sz w:val="22"/>
              </w:rPr>
            </w:pPr>
            <w:r w:rsidRPr="007928AD">
              <w:rPr>
                <w:rFonts w:ascii="ＭＳ ゴシック" w:eastAsia="ＭＳ ゴシック" w:hAnsi="ＭＳ ゴシック" w:cs="ＭＳ Ｐゴシック" w:hint="eastAsia"/>
                <w:kern w:val="0"/>
                <w:sz w:val="22"/>
              </w:rPr>
              <w:t>との間で、出納整理期間に現金の受払い等があった場合は、現金の受払い等が終了したものとして調整しています。</w:t>
            </w:r>
          </w:p>
        </w:tc>
      </w:tr>
      <w:tr w:rsidR="00FC005E" w:rsidRPr="00CD1345" w:rsidTr="00463C93">
        <w:trPr>
          <w:trHeight w:val="270"/>
        </w:trPr>
        <w:tc>
          <w:tcPr>
            <w:tcW w:w="5000" w:type="pct"/>
            <w:tcBorders>
              <w:top w:val="nil"/>
              <w:left w:val="nil"/>
              <w:bottom w:val="nil"/>
              <w:right w:val="nil"/>
            </w:tcBorders>
            <w:shd w:val="clear" w:color="auto" w:fill="auto"/>
            <w:hideMark/>
          </w:tcPr>
          <w:p w:rsidR="00FC005E" w:rsidRDefault="00FC005E" w:rsidP="00EB082E">
            <w:pPr>
              <w:pStyle w:val="a3"/>
              <w:widowControl/>
              <w:numPr>
                <w:ilvl w:val="0"/>
                <w:numId w:val="7"/>
              </w:numPr>
              <w:ind w:leftChars="0"/>
              <w:jc w:val="left"/>
              <w:rPr>
                <w:rFonts w:ascii="ＭＳ ゴシック" w:eastAsia="ＭＳ ゴシック" w:hAnsi="ＭＳ ゴシック" w:cs="ＭＳ Ｐゴシック"/>
                <w:kern w:val="0"/>
                <w:sz w:val="22"/>
              </w:rPr>
            </w:pPr>
            <w:r w:rsidRPr="00EB082E">
              <w:rPr>
                <w:rFonts w:ascii="ＭＳ ゴシック" w:eastAsia="ＭＳ ゴシック" w:hAnsi="ＭＳ ゴシック" w:cs="ＭＳ Ｐゴシック" w:hint="eastAsia"/>
                <w:kern w:val="0"/>
                <w:sz w:val="22"/>
              </w:rPr>
              <w:lastRenderedPageBreak/>
              <w:t xml:space="preserve"> 百万円未満を四捨五入して表示しているため、合計金額が一致しない場合があります。</w:t>
            </w:r>
          </w:p>
          <w:p w:rsidR="00EB082E" w:rsidRPr="00EB082E" w:rsidRDefault="00EB082E" w:rsidP="00D77657">
            <w:pPr>
              <w:pStyle w:val="a3"/>
              <w:widowControl/>
              <w:ind w:leftChars="0" w:left="825"/>
              <w:jc w:val="left"/>
              <w:rPr>
                <w:rFonts w:ascii="ＭＳ ゴシック" w:eastAsia="ＭＳ ゴシック" w:hAnsi="ＭＳ ゴシック" w:cs="ＭＳ Ｐゴシック"/>
                <w:kern w:val="0"/>
                <w:sz w:val="22"/>
              </w:rPr>
            </w:pPr>
          </w:p>
        </w:tc>
      </w:tr>
    </w:tbl>
    <w:p w:rsidR="001A1541" w:rsidRPr="00CD1345" w:rsidRDefault="001A1541" w:rsidP="00D77657"/>
    <w:sectPr w:rsidR="001A1541" w:rsidRPr="00CD1345" w:rsidSect="00E8011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F15" w:rsidRDefault="00730F15" w:rsidP="00730F15">
      <w:r>
        <w:separator/>
      </w:r>
    </w:p>
  </w:endnote>
  <w:endnote w:type="continuationSeparator" w:id="0">
    <w:p w:rsidR="00730F15" w:rsidRDefault="00730F15" w:rsidP="0073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F15" w:rsidRDefault="00730F15" w:rsidP="00730F15">
      <w:r>
        <w:separator/>
      </w:r>
    </w:p>
  </w:footnote>
  <w:footnote w:type="continuationSeparator" w:id="0">
    <w:p w:rsidR="00730F15" w:rsidRDefault="00730F15" w:rsidP="00730F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3349"/>
    <w:multiLevelType w:val="hybridMultilevel"/>
    <w:tmpl w:val="4BF6AA3C"/>
    <w:lvl w:ilvl="0" w:tplc="0728D762">
      <w:start w:val="1"/>
      <w:numFmt w:val="decimalFullWidth"/>
      <w:lvlText w:val="%1，"/>
      <w:lvlJc w:val="left"/>
      <w:pPr>
        <w:ind w:left="4665" w:hanging="480"/>
      </w:pPr>
      <w:rPr>
        <w:rFonts w:hint="default"/>
      </w:rPr>
    </w:lvl>
    <w:lvl w:ilvl="1" w:tplc="04090017" w:tentative="1">
      <w:start w:val="1"/>
      <w:numFmt w:val="aiueoFullWidth"/>
      <w:lvlText w:val="(%2)"/>
      <w:lvlJc w:val="left"/>
      <w:pPr>
        <w:ind w:left="5025" w:hanging="420"/>
      </w:pPr>
    </w:lvl>
    <w:lvl w:ilvl="2" w:tplc="04090011" w:tentative="1">
      <w:start w:val="1"/>
      <w:numFmt w:val="decimalEnclosedCircle"/>
      <w:lvlText w:val="%3"/>
      <w:lvlJc w:val="left"/>
      <w:pPr>
        <w:ind w:left="5445" w:hanging="420"/>
      </w:pPr>
    </w:lvl>
    <w:lvl w:ilvl="3" w:tplc="0409000F" w:tentative="1">
      <w:start w:val="1"/>
      <w:numFmt w:val="decimal"/>
      <w:lvlText w:val="%4."/>
      <w:lvlJc w:val="left"/>
      <w:pPr>
        <w:ind w:left="5865" w:hanging="420"/>
      </w:pPr>
    </w:lvl>
    <w:lvl w:ilvl="4" w:tplc="04090017" w:tentative="1">
      <w:start w:val="1"/>
      <w:numFmt w:val="aiueoFullWidth"/>
      <w:lvlText w:val="(%5)"/>
      <w:lvlJc w:val="left"/>
      <w:pPr>
        <w:ind w:left="6285" w:hanging="420"/>
      </w:pPr>
    </w:lvl>
    <w:lvl w:ilvl="5" w:tplc="04090011" w:tentative="1">
      <w:start w:val="1"/>
      <w:numFmt w:val="decimalEnclosedCircle"/>
      <w:lvlText w:val="%6"/>
      <w:lvlJc w:val="left"/>
      <w:pPr>
        <w:ind w:left="6705" w:hanging="420"/>
      </w:pPr>
    </w:lvl>
    <w:lvl w:ilvl="6" w:tplc="0409000F" w:tentative="1">
      <w:start w:val="1"/>
      <w:numFmt w:val="decimal"/>
      <w:lvlText w:val="%7."/>
      <w:lvlJc w:val="left"/>
      <w:pPr>
        <w:ind w:left="7125" w:hanging="420"/>
      </w:pPr>
    </w:lvl>
    <w:lvl w:ilvl="7" w:tplc="04090017" w:tentative="1">
      <w:start w:val="1"/>
      <w:numFmt w:val="aiueoFullWidth"/>
      <w:lvlText w:val="(%8)"/>
      <w:lvlJc w:val="left"/>
      <w:pPr>
        <w:ind w:left="7545" w:hanging="420"/>
      </w:pPr>
    </w:lvl>
    <w:lvl w:ilvl="8" w:tplc="04090011" w:tentative="1">
      <w:start w:val="1"/>
      <w:numFmt w:val="decimalEnclosedCircle"/>
      <w:lvlText w:val="%9"/>
      <w:lvlJc w:val="left"/>
      <w:pPr>
        <w:ind w:left="7965" w:hanging="420"/>
      </w:pPr>
    </w:lvl>
  </w:abstractNum>
  <w:abstractNum w:abstractNumId="1">
    <w:nsid w:val="2D2F1611"/>
    <w:multiLevelType w:val="hybridMultilevel"/>
    <w:tmpl w:val="E086315A"/>
    <w:lvl w:ilvl="0" w:tplc="C2B0952A">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2">
    <w:nsid w:val="3A870E88"/>
    <w:multiLevelType w:val="hybridMultilevel"/>
    <w:tmpl w:val="E00CA932"/>
    <w:lvl w:ilvl="0" w:tplc="439AD6A4">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3">
    <w:nsid w:val="3EDE0075"/>
    <w:multiLevelType w:val="hybridMultilevel"/>
    <w:tmpl w:val="36C47756"/>
    <w:lvl w:ilvl="0" w:tplc="636A4C0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21C7527"/>
    <w:multiLevelType w:val="hybridMultilevel"/>
    <w:tmpl w:val="D03411EE"/>
    <w:lvl w:ilvl="0" w:tplc="C9F2E5C8">
      <w:start w:val="1"/>
      <w:numFmt w:val="decimalEnclosedCircle"/>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5">
    <w:nsid w:val="51C66604"/>
    <w:multiLevelType w:val="hybridMultilevel"/>
    <w:tmpl w:val="6C9644D8"/>
    <w:lvl w:ilvl="0" w:tplc="2EE090F4">
      <w:start w:val="1"/>
      <w:numFmt w:val="decimalEnclosedCircle"/>
      <w:lvlText w:val="%1"/>
      <w:lvlJc w:val="left"/>
      <w:pPr>
        <w:ind w:left="690" w:hanging="360"/>
      </w:pPr>
      <w:rPr>
        <w:rFonts w:hint="default"/>
      </w:rPr>
    </w:lvl>
    <w:lvl w:ilvl="1" w:tplc="04090017" w:tentative="1">
      <w:start w:val="1"/>
      <w:numFmt w:val="aiueoFullWidth"/>
      <w:lvlText w:val="(%2)"/>
      <w:lvlJc w:val="left"/>
      <w:pPr>
        <w:ind w:left="1170" w:hanging="420"/>
      </w:pPr>
    </w:lvl>
    <w:lvl w:ilvl="2" w:tplc="04090011" w:tentative="1">
      <w:start w:val="1"/>
      <w:numFmt w:val="decimalEnclosedCircle"/>
      <w:lvlText w:val="%3"/>
      <w:lvlJc w:val="left"/>
      <w:pPr>
        <w:ind w:left="1590" w:hanging="420"/>
      </w:pPr>
    </w:lvl>
    <w:lvl w:ilvl="3" w:tplc="0409000F" w:tentative="1">
      <w:start w:val="1"/>
      <w:numFmt w:val="decimal"/>
      <w:lvlText w:val="%4."/>
      <w:lvlJc w:val="left"/>
      <w:pPr>
        <w:ind w:left="2010" w:hanging="420"/>
      </w:pPr>
    </w:lvl>
    <w:lvl w:ilvl="4" w:tplc="04090017" w:tentative="1">
      <w:start w:val="1"/>
      <w:numFmt w:val="aiueoFullWidth"/>
      <w:lvlText w:val="(%5)"/>
      <w:lvlJc w:val="left"/>
      <w:pPr>
        <w:ind w:left="2430" w:hanging="420"/>
      </w:pPr>
    </w:lvl>
    <w:lvl w:ilvl="5" w:tplc="04090011" w:tentative="1">
      <w:start w:val="1"/>
      <w:numFmt w:val="decimalEnclosedCircle"/>
      <w:lvlText w:val="%6"/>
      <w:lvlJc w:val="left"/>
      <w:pPr>
        <w:ind w:left="2850" w:hanging="420"/>
      </w:pPr>
    </w:lvl>
    <w:lvl w:ilvl="6" w:tplc="0409000F" w:tentative="1">
      <w:start w:val="1"/>
      <w:numFmt w:val="decimal"/>
      <w:lvlText w:val="%7."/>
      <w:lvlJc w:val="left"/>
      <w:pPr>
        <w:ind w:left="3270" w:hanging="420"/>
      </w:pPr>
    </w:lvl>
    <w:lvl w:ilvl="7" w:tplc="04090017" w:tentative="1">
      <w:start w:val="1"/>
      <w:numFmt w:val="aiueoFullWidth"/>
      <w:lvlText w:val="(%8)"/>
      <w:lvlJc w:val="left"/>
      <w:pPr>
        <w:ind w:left="3690" w:hanging="420"/>
      </w:pPr>
    </w:lvl>
    <w:lvl w:ilvl="8" w:tplc="04090011" w:tentative="1">
      <w:start w:val="1"/>
      <w:numFmt w:val="decimalEnclosedCircle"/>
      <w:lvlText w:val="%9"/>
      <w:lvlJc w:val="left"/>
      <w:pPr>
        <w:ind w:left="4110" w:hanging="420"/>
      </w:pPr>
    </w:lvl>
  </w:abstractNum>
  <w:abstractNum w:abstractNumId="6">
    <w:nsid w:val="59FB337B"/>
    <w:multiLevelType w:val="hybridMultilevel"/>
    <w:tmpl w:val="3CDACE98"/>
    <w:lvl w:ilvl="0" w:tplc="E2383CB0">
      <w:start w:val="2"/>
      <w:numFmt w:val="decimalFullWidth"/>
      <w:lvlText w:val="（%1）"/>
      <w:lvlJc w:val="left"/>
      <w:pPr>
        <w:ind w:left="720" w:hanging="720"/>
      </w:pPr>
      <w:rPr>
        <w:rFonts w:hint="default"/>
      </w:rPr>
    </w:lvl>
    <w:lvl w:ilvl="1" w:tplc="286E4DB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33B0FE0"/>
    <w:multiLevelType w:val="hybridMultilevel"/>
    <w:tmpl w:val="797C09B8"/>
    <w:lvl w:ilvl="0" w:tplc="A9C43DB4">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8">
    <w:nsid w:val="63CC44D8"/>
    <w:multiLevelType w:val="hybridMultilevel"/>
    <w:tmpl w:val="2996D24A"/>
    <w:lvl w:ilvl="0" w:tplc="210AFA38">
      <w:start w:val="2"/>
      <w:numFmt w:val="decimalFullWidth"/>
      <w:lvlText w:val="（%1）"/>
      <w:lvlJc w:val="left"/>
      <w:pPr>
        <w:ind w:left="720" w:hanging="720"/>
      </w:pPr>
      <w:rPr>
        <w:rFonts w:hint="default"/>
      </w:rPr>
    </w:lvl>
    <w:lvl w:ilvl="1" w:tplc="F8B84C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B9F7823"/>
    <w:multiLevelType w:val="hybridMultilevel"/>
    <w:tmpl w:val="0C9AC62A"/>
    <w:lvl w:ilvl="0" w:tplc="101074D2">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num w:numId="1">
    <w:abstractNumId w:val="1"/>
  </w:num>
  <w:num w:numId="2">
    <w:abstractNumId w:val="8"/>
  </w:num>
  <w:num w:numId="3">
    <w:abstractNumId w:val="4"/>
  </w:num>
  <w:num w:numId="4">
    <w:abstractNumId w:val="6"/>
  </w:num>
  <w:num w:numId="5">
    <w:abstractNumId w:val="0"/>
  </w:num>
  <w:num w:numId="6">
    <w:abstractNumId w:val="5"/>
  </w:num>
  <w:num w:numId="7">
    <w:abstractNumId w:val="7"/>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45"/>
    <w:rsid w:val="00017C89"/>
    <w:rsid w:val="0002003A"/>
    <w:rsid w:val="00023324"/>
    <w:rsid w:val="000248A5"/>
    <w:rsid w:val="0003524C"/>
    <w:rsid w:val="00044499"/>
    <w:rsid w:val="000573C6"/>
    <w:rsid w:val="0008087B"/>
    <w:rsid w:val="000A34A7"/>
    <w:rsid w:val="000A411B"/>
    <w:rsid w:val="000B3EC7"/>
    <w:rsid w:val="000D761F"/>
    <w:rsid w:val="000E3D75"/>
    <w:rsid w:val="000E456B"/>
    <w:rsid w:val="000F6065"/>
    <w:rsid w:val="00105535"/>
    <w:rsid w:val="00124B18"/>
    <w:rsid w:val="00126BE1"/>
    <w:rsid w:val="0013449D"/>
    <w:rsid w:val="0015196A"/>
    <w:rsid w:val="00195A1E"/>
    <w:rsid w:val="00196C90"/>
    <w:rsid w:val="001A1541"/>
    <w:rsid w:val="001A189F"/>
    <w:rsid w:val="001D0162"/>
    <w:rsid w:val="001D41E2"/>
    <w:rsid w:val="001D7BEA"/>
    <w:rsid w:val="001D7C43"/>
    <w:rsid w:val="001E3DAF"/>
    <w:rsid w:val="00200575"/>
    <w:rsid w:val="002171BA"/>
    <w:rsid w:val="00221D78"/>
    <w:rsid w:val="00222A3F"/>
    <w:rsid w:val="00224FE9"/>
    <w:rsid w:val="00240020"/>
    <w:rsid w:val="00260A4D"/>
    <w:rsid w:val="00292873"/>
    <w:rsid w:val="002957CB"/>
    <w:rsid w:val="00295F76"/>
    <w:rsid w:val="002B1A3B"/>
    <w:rsid w:val="002B751A"/>
    <w:rsid w:val="002C23E9"/>
    <w:rsid w:val="002C6A99"/>
    <w:rsid w:val="002D6497"/>
    <w:rsid w:val="002F3661"/>
    <w:rsid w:val="00311D0C"/>
    <w:rsid w:val="0032649E"/>
    <w:rsid w:val="00326E58"/>
    <w:rsid w:val="00336705"/>
    <w:rsid w:val="0034632B"/>
    <w:rsid w:val="00350E1D"/>
    <w:rsid w:val="00357A7E"/>
    <w:rsid w:val="0036256E"/>
    <w:rsid w:val="00382589"/>
    <w:rsid w:val="003A5591"/>
    <w:rsid w:val="003A6800"/>
    <w:rsid w:val="003B4BA4"/>
    <w:rsid w:val="003C43F9"/>
    <w:rsid w:val="003F4D05"/>
    <w:rsid w:val="00440728"/>
    <w:rsid w:val="00440743"/>
    <w:rsid w:val="00440BA8"/>
    <w:rsid w:val="00443C27"/>
    <w:rsid w:val="00444DF7"/>
    <w:rsid w:val="00455C35"/>
    <w:rsid w:val="0045694B"/>
    <w:rsid w:val="00463C93"/>
    <w:rsid w:val="00486862"/>
    <w:rsid w:val="004A1421"/>
    <w:rsid w:val="004A7F60"/>
    <w:rsid w:val="004C5EFB"/>
    <w:rsid w:val="004D1572"/>
    <w:rsid w:val="004D3D35"/>
    <w:rsid w:val="004D784D"/>
    <w:rsid w:val="004E1E46"/>
    <w:rsid w:val="00501D66"/>
    <w:rsid w:val="00506820"/>
    <w:rsid w:val="00516BD9"/>
    <w:rsid w:val="00532551"/>
    <w:rsid w:val="005419F6"/>
    <w:rsid w:val="005439BB"/>
    <w:rsid w:val="00553023"/>
    <w:rsid w:val="00555AEB"/>
    <w:rsid w:val="005661AF"/>
    <w:rsid w:val="005825DB"/>
    <w:rsid w:val="00597CBE"/>
    <w:rsid w:val="005A09C2"/>
    <w:rsid w:val="005A72F0"/>
    <w:rsid w:val="005B25A0"/>
    <w:rsid w:val="005B53E2"/>
    <w:rsid w:val="005D1744"/>
    <w:rsid w:val="005F4159"/>
    <w:rsid w:val="006167A7"/>
    <w:rsid w:val="00631448"/>
    <w:rsid w:val="00634DAF"/>
    <w:rsid w:val="00650442"/>
    <w:rsid w:val="00665070"/>
    <w:rsid w:val="00676EC4"/>
    <w:rsid w:val="00685C9B"/>
    <w:rsid w:val="006A2F2C"/>
    <w:rsid w:val="006C3C42"/>
    <w:rsid w:val="006C3D19"/>
    <w:rsid w:val="00706982"/>
    <w:rsid w:val="00710140"/>
    <w:rsid w:val="00726E63"/>
    <w:rsid w:val="007271CD"/>
    <w:rsid w:val="00730F15"/>
    <w:rsid w:val="00733DBE"/>
    <w:rsid w:val="00755261"/>
    <w:rsid w:val="007812F3"/>
    <w:rsid w:val="00785CCC"/>
    <w:rsid w:val="007928AD"/>
    <w:rsid w:val="007945A5"/>
    <w:rsid w:val="00796B01"/>
    <w:rsid w:val="007A6143"/>
    <w:rsid w:val="007B09F0"/>
    <w:rsid w:val="007B3135"/>
    <w:rsid w:val="007C29CA"/>
    <w:rsid w:val="007D7A12"/>
    <w:rsid w:val="007E5651"/>
    <w:rsid w:val="00815F69"/>
    <w:rsid w:val="008367DF"/>
    <w:rsid w:val="00880114"/>
    <w:rsid w:val="00886067"/>
    <w:rsid w:val="008A471F"/>
    <w:rsid w:val="008A66C0"/>
    <w:rsid w:val="00904045"/>
    <w:rsid w:val="009056BE"/>
    <w:rsid w:val="00923683"/>
    <w:rsid w:val="0092487E"/>
    <w:rsid w:val="00970E84"/>
    <w:rsid w:val="00982452"/>
    <w:rsid w:val="009935CF"/>
    <w:rsid w:val="009A7024"/>
    <w:rsid w:val="009B1620"/>
    <w:rsid w:val="009B705D"/>
    <w:rsid w:val="009C7635"/>
    <w:rsid w:val="009D61DC"/>
    <w:rsid w:val="009F6404"/>
    <w:rsid w:val="00A00DFC"/>
    <w:rsid w:val="00A071BA"/>
    <w:rsid w:val="00A137A1"/>
    <w:rsid w:val="00A25DBF"/>
    <w:rsid w:val="00A4433F"/>
    <w:rsid w:val="00A53F87"/>
    <w:rsid w:val="00AB2EA6"/>
    <w:rsid w:val="00AB3AE8"/>
    <w:rsid w:val="00AB4E99"/>
    <w:rsid w:val="00AD1556"/>
    <w:rsid w:val="00AD4CE6"/>
    <w:rsid w:val="00AF254C"/>
    <w:rsid w:val="00AF7CB6"/>
    <w:rsid w:val="00AF7E6D"/>
    <w:rsid w:val="00B06E93"/>
    <w:rsid w:val="00B215B7"/>
    <w:rsid w:val="00B87AD2"/>
    <w:rsid w:val="00B9508B"/>
    <w:rsid w:val="00BB0E59"/>
    <w:rsid w:val="00BB329D"/>
    <w:rsid w:val="00BC4864"/>
    <w:rsid w:val="00BD380D"/>
    <w:rsid w:val="00BE4CBF"/>
    <w:rsid w:val="00C06CA3"/>
    <w:rsid w:val="00C202A6"/>
    <w:rsid w:val="00C40F19"/>
    <w:rsid w:val="00C41028"/>
    <w:rsid w:val="00C548E2"/>
    <w:rsid w:val="00C84BD6"/>
    <w:rsid w:val="00C85500"/>
    <w:rsid w:val="00C86196"/>
    <w:rsid w:val="00C97397"/>
    <w:rsid w:val="00CA5AF7"/>
    <w:rsid w:val="00CB0211"/>
    <w:rsid w:val="00CB25D6"/>
    <w:rsid w:val="00CD1345"/>
    <w:rsid w:val="00CF02E6"/>
    <w:rsid w:val="00D00E89"/>
    <w:rsid w:val="00D23273"/>
    <w:rsid w:val="00D52325"/>
    <w:rsid w:val="00D53E98"/>
    <w:rsid w:val="00D64DFA"/>
    <w:rsid w:val="00D66964"/>
    <w:rsid w:val="00D6703A"/>
    <w:rsid w:val="00D77657"/>
    <w:rsid w:val="00DA7DD1"/>
    <w:rsid w:val="00DC57AE"/>
    <w:rsid w:val="00DF2103"/>
    <w:rsid w:val="00DF566F"/>
    <w:rsid w:val="00E1325D"/>
    <w:rsid w:val="00E23662"/>
    <w:rsid w:val="00E35619"/>
    <w:rsid w:val="00E413C5"/>
    <w:rsid w:val="00E47D4C"/>
    <w:rsid w:val="00E80112"/>
    <w:rsid w:val="00E80B53"/>
    <w:rsid w:val="00E92029"/>
    <w:rsid w:val="00E96CD0"/>
    <w:rsid w:val="00EB082E"/>
    <w:rsid w:val="00EC25A6"/>
    <w:rsid w:val="00EC66E0"/>
    <w:rsid w:val="00ED04E8"/>
    <w:rsid w:val="00F006CC"/>
    <w:rsid w:val="00F00BEE"/>
    <w:rsid w:val="00F03E82"/>
    <w:rsid w:val="00F2078E"/>
    <w:rsid w:val="00F21BFD"/>
    <w:rsid w:val="00F21E9F"/>
    <w:rsid w:val="00F44FEF"/>
    <w:rsid w:val="00F57EA3"/>
    <w:rsid w:val="00F74412"/>
    <w:rsid w:val="00F7461A"/>
    <w:rsid w:val="00F94D66"/>
    <w:rsid w:val="00FA0620"/>
    <w:rsid w:val="00FC005E"/>
    <w:rsid w:val="00FC00F5"/>
    <w:rsid w:val="00FE5B75"/>
    <w:rsid w:val="00FF0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743"/>
    <w:pPr>
      <w:ind w:leftChars="400" w:left="840"/>
    </w:pPr>
  </w:style>
  <w:style w:type="paragraph" w:styleId="a4">
    <w:name w:val="header"/>
    <w:basedOn w:val="a"/>
    <w:link w:val="a5"/>
    <w:uiPriority w:val="99"/>
    <w:unhideWhenUsed/>
    <w:rsid w:val="00730F15"/>
    <w:pPr>
      <w:tabs>
        <w:tab w:val="center" w:pos="4252"/>
        <w:tab w:val="right" w:pos="8504"/>
      </w:tabs>
      <w:snapToGrid w:val="0"/>
    </w:pPr>
  </w:style>
  <w:style w:type="character" w:customStyle="1" w:styleId="a5">
    <w:name w:val="ヘッダー (文字)"/>
    <w:basedOn w:val="a0"/>
    <w:link w:val="a4"/>
    <w:uiPriority w:val="99"/>
    <w:rsid w:val="00730F15"/>
  </w:style>
  <w:style w:type="paragraph" w:styleId="a6">
    <w:name w:val="footer"/>
    <w:basedOn w:val="a"/>
    <w:link w:val="a7"/>
    <w:uiPriority w:val="99"/>
    <w:unhideWhenUsed/>
    <w:rsid w:val="00730F15"/>
    <w:pPr>
      <w:tabs>
        <w:tab w:val="center" w:pos="4252"/>
        <w:tab w:val="right" w:pos="8504"/>
      </w:tabs>
      <w:snapToGrid w:val="0"/>
    </w:pPr>
  </w:style>
  <w:style w:type="character" w:customStyle="1" w:styleId="a7">
    <w:name w:val="フッター (文字)"/>
    <w:basedOn w:val="a0"/>
    <w:link w:val="a6"/>
    <w:uiPriority w:val="99"/>
    <w:rsid w:val="00730F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743"/>
    <w:pPr>
      <w:ind w:leftChars="400" w:left="840"/>
    </w:pPr>
  </w:style>
  <w:style w:type="paragraph" w:styleId="a4">
    <w:name w:val="header"/>
    <w:basedOn w:val="a"/>
    <w:link w:val="a5"/>
    <w:uiPriority w:val="99"/>
    <w:unhideWhenUsed/>
    <w:rsid w:val="00730F15"/>
    <w:pPr>
      <w:tabs>
        <w:tab w:val="center" w:pos="4252"/>
        <w:tab w:val="right" w:pos="8504"/>
      </w:tabs>
      <w:snapToGrid w:val="0"/>
    </w:pPr>
  </w:style>
  <w:style w:type="character" w:customStyle="1" w:styleId="a5">
    <w:name w:val="ヘッダー (文字)"/>
    <w:basedOn w:val="a0"/>
    <w:link w:val="a4"/>
    <w:uiPriority w:val="99"/>
    <w:rsid w:val="00730F15"/>
  </w:style>
  <w:style w:type="paragraph" w:styleId="a6">
    <w:name w:val="footer"/>
    <w:basedOn w:val="a"/>
    <w:link w:val="a7"/>
    <w:uiPriority w:val="99"/>
    <w:unhideWhenUsed/>
    <w:rsid w:val="00730F15"/>
    <w:pPr>
      <w:tabs>
        <w:tab w:val="center" w:pos="4252"/>
        <w:tab w:val="right" w:pos="8504"/>
      </w:tabs>
      <w:snapToGrid w:val="0"/>
    </w:pPr>
  </w:style>
  <w:style w:type="character" w:customStyle="1" w:styleId="a7">
    <w:name w:val="フッター (文字)"/>
    <w:basedOn w:val="a0"/>
    <w:link w:val="a6"/>
    <w:uiPriority w:val="99"/>
    <w:rsid w:val="0073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4CD95-82C1-4606-8C09-8EBD111D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329</Words>
  <Characters>1877</Characters>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2019-11-12T08:26:00Z</dcterms:created>
  <dcterms:modified xsi:type="dcterms:W3CDTF">2019-12-05T02:23:00Z</dcterms:modified>
</cp:coreProperties>
</file>