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06166F20"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5269B5">
        <w:rPr>
          <w:rFonts w:ascii="BIZ UDゴシック" w:eastAsia="BIZ UDゴシック" w:hAnsi="BIZ UDゴシック" w:cs="ＭＳ Ｐゴシック" w:hint="eastAsia"/>
          <w:kern w:val="0"/>
          <w:sz w:val="24"/>
          <w:szCs w:val="24"/>
        </w:rPr>
        <w:t>全体</w:t>
      </w:r>
      <w:r w:rsidRPr="002C0808">
        <w:rPr>
          <w:rFonts w:ascii="BIZ UDゴシック" w:eastAsia="BIZ UDゴシック" w:hAnsi="BIZ UDゴシック" w:cs="ＭＳ Ｐゴシック" w:hint="eastAsia"/>
          <w:kern w:val="0"/>
          <w:sz w:val="24"/>
          <w:szCs w:val="24"/>
        </w:rPr>
        <w:t>会計）</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7D440516" w14:textId="77777777" w:rsidR="001A42B0" w:rsidRDefault="00697584" w:rsidP="001A42B0">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2C0808" w:rsidRPr="002C0808">
        <w:rPr>
          <w:rFonts w:ascii="BIZ UD明朝 Medium" w:eastAsia="BIZ UD明朝 Medium" w:hAnsi="BIZ UD明朝 Medium" w:cs="ＭＳ Ｐゴシック" w:hint="eastAsia"/>
          <w:kern w:val="0"/>
          <w:sz w:val="24"/>
          <w:szCs w:val="24"/>
        </w:rPr>
        <w:t>と</w:t>
      </w:r>
    </w:p>
    <w:p w14:paraId="61A24BC4" w14:textId="2FC39551" w:rsidR="00697584" w:rsidRPr="002C0808" w:rsidRDefault="00697584" w:rsidP="001A42B0">
      <w:pPr>
        <w:widowControl/>
        <w:ind w:firstLineChars="200" w:firstLine="480"/>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34DCEE" w14:textId="2707D3F5" w:rsidR="00697584" w:rsidRDefault="00697584" w:rsidP="00725BDF">
      <w:pPr>
        <w:widowControl/>
        <w:ind w:firstLineChars="200" w:firstLine="4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地方自治法第235条の４第１項に規定する歳入歳出に属する現金とします。</w:t>
      </w:r>
    </w:p>
    <w:p w14:paraId="5C968D5A" w14:textId="16B9ADBC" w:rsidR="00130A01" w:rsidRDefault="00130A01" w:rsidP="00130A01">
      <w:pPr>
        <w:widowControl/>
        <w:jc w:val="left"/>
        <w:rPr>
          <w:rFonts w:ascii="BIZ UD明朝 Medium" w:eastAsia="BIZ UD明朝 Medium" w:hAnsi="BIZ UD明朝 Medium" w:cs="ＭＳ Ｐゴシック"/>
          <w:kern w:val="0"/>
          <w:sz w:val="24"/>
          <w:szCs w:val="24"/>
        </w:rPr>
      </w:pPr>
    </w:p>
    <w:p w14:paraId="5365A640" w14:textId="77777777" w:rsidR="00130A01" w:rsidRDefault="00130A01" w:rsidP="00130A01">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7DA7C621" w14:textId="668A7B1B" w:rsidR="00130A01" w:rsidRPr="00B30FFA" w:rsidRDefault="00130A01" w:rsidP="00130A01">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消費税等の会計処理は、税込み方式によっています。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59A172A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130A01">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4F6E05" w:rsidRDefault="003B555F" w:rsidP="00725BDF">
      <w:pPr>
        <w:widowControl/>
        <w:jc w:val="left"/>
        <w:rPr>
          <w:rFonts w:ascii="BIZ UDゴシック" w:eastAsia="BIZ UDゴシック" w:hAnsi="BIZ UDゴシック" w:cs="ＭＳ Ｐゴシック"/>
          <w:kern w:val="0"/>
          <w:sz w:val="24"/>
          <w:szCs w:val="24"/>
        </w:rPr>
      </w:pPr>
      <w:r w:rsidRPr="004F6E05">
        <w:rPr>
          <w:rFonts w:ascii="BIZ UDゴシック" w:eastAsia="BIZ UDゴシック" w:hAnsi="BIZ UDゴシック" w:cs="ＭＳ Ｐゴシック" w:hint="eastAsia"/>
          <w:kern w:val="0"/>
          <w:sz w:val="24"/>
          <w:szCs w:val="24"/>
        </w:rPr>
        <w:t>（１）</w:t>
      </w:r>
      <w:r w:rsidR="00725BDF" w:rsidRPr="004F6E05">
        <w:rPr>
          <w:rFonts w:ascii="BIZ UDゴシック" w:eastAsia="BIZ UDゴシック" w:hAnsi="BIZ UDゴシック" w:cs="ＭＳ Ｐゴシック" w:hint="eastAsia"/>
          <w:kern w:val="0"/>
          <w:sz w:val="24"/>
          <w:szCs w:val="24"/>
        </w:rPr>
        <w:t>係争中の訴訟等で損害賠償等の請求を受けているもの</w:t>
      </w:r>
    </w:p>
    <w:p w14:paraId="7865F785" w14:textId="0833264C" w:rsidR="00725BDF" w:rsidRDefault="004F6E05" w:rsidP="00725BDF">
      <w:pPr>
        <w:widowControl/>
        <w:ind w:firstLineChars="222" w:firstLine="533"/>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該当する事象はありません。</w:t>
      </w:r>
    </w:p>
    <w:p w14:paraId="1166D25B" w14:textId="77777777" w:rsidR="004F6E05" w:rsidRDefault="004F6E05"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bookmarkStart w:id="0" w:name="_GoBack"/>
      <w:bookmarkEnd w:id="0"/>
      <w:r w:rsidRPr="002C0808">
        <w:rPr>
          <w:rFonts w:ascii="BIZ UDゴシック" w:eastAsia="BIZ UDゴシック" w:hAnsi="BIZ UDゴシック" w:cs="ＭＳ Ｐゴシック" w:hint="eastAsia"/>
          <w:kern w:val="0"/>
          <w:sz w:val="24"/>
          <w:szCs w:val="24"/>
        </w:rPr>
        <w:lastRenderedPageBreak/>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7C0AF1C4" w:rsidR="00725BDF" w:rsidRDefault="005269B5" w:rsidP="00823EE2">
      <w:pPr>
        <w:ind w:firstLineChars="350" w:firstLine="84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全体会計</w:t>
      </w:r>
      <w:r w:rsidR="00725BDF" w:rsidRPr="00FA7A80">
        <w:rPr>
          <w:rFonts w:ascii="BIZ UD明朝 Medium" w:eastAsia="BIZ UD明朝 Medium" w:hAnsi="BIZ UD明朝 Medium" w:cs="ＭＳ Ｐゴシック" w:hint="eastAsia"/>
          <w:kern w:val="0"/>
          <w:sz w:val="24"/>
          <w:szCs w:val="24"/>
        </w:rPr>
        <w:t>財務書類の対象範囲は次のとおりとします。</w:t>
      </w:r>
      <w:r w:rsidR="00725BDF" w:rsidRPr="00FA7A80">
        <w:rPr>
          <w:rFonts w:ascii="BIZ UD明朝 Medium" w:eastAsia="BIZ UD明朝 Medium" w:hAnsi="BIZ UD明朝 Medium" w:cs="ＭＳ Ｐゴシック" w:hint="eastAsia"/>
          <w:kern w:val="0"/>
          <w:sz w:val="24"/>
          <w:szCs w:val="24"/>
        </w:rPr>
        <w:br/>
        <w:t xml:space="preserve">　　   一般会計</w:t>
      </w:r>
    </w:p>
    <w:p w14:paraId="43C573F6" w14:textId="77777777"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国民健康保険事業会計</w:t>
      </w:r>
    </w:p>
    <w:p w14:paraId="08FE6C27" w14:textId="5E758E5D"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後期高齢者医療事業会計</w:t>
      </w:r>
    </w:p>
    <w:p w14:paraId="4AE9F313" w14:textId="58789983" w:rsidR="005269B5" w:rsidRPr="005269B5" w:rsidRDefault="005269B5" w:rsidP="005269B5">
      <w:pPr>
        <w:ind w:firstLineChars="350" w:firstLine="840"/>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介護保険事業会計</w:t>
      </w:r>
    </w:p>
    <w:p w14:paraId="1B1AC2CD" w14:textId="6CAFFBAD" w:rsidR="005269B5" w:rsidRPr="005269B5" w:rsidRDefault="005269B5"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299ED8B" w:rsidR="00AB4310" w:rsidRPr="00FA7A80" w:rsidRDefault="005269B5" w:rsidP="00156487">
      <w:pPr>
        <w:widowControl/>
        <w:ind w:leftChars="205" w:left="780" w:hangingChars="146" w:hanging="35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p w14:paraId="2780711F" w14:textId="77777777" w:rsidR="00156487" w:rsidRPr="005269B5"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35640EAD" w:rsidR="005269B5" w:rsidRPr="008B2C2B" w:rsidRDefault="00823EE2" w:rsidP="005269B5">
      <w:pPr>
        <w:widowControl/>
        <w:ind w:leftChars="151" w:left="797" w:hangingChars="200" w:hanging="480"/>
        <w:jc w:val="left"/>
        <w:rPr>
          <w:rFonts w:ascii="ＭＳ ゴシック" w:eastAsia="ＭＳ ゴシック" w:hAnsi="ＭＳ ゴシック" w:cs="ＭＳ Ｐゴシック"/>
          <w:kern w:val="0"/>
          <w:sz w:val="22"/>
        </w:rPr>
      </w:pPr>
      <w:r w:rsidRPr="00FA7A80">
        <w:rPr>
          <w:rFonts w:ascii="BIZ UD明朝 Medium" w:eastAsia="BIZ UD明朝 Medium" w:hAnsi="BIZ UD明朝 Medium" w:cs="ＭＳ Ｐゴシック" w:hint="eastAsia"/>
          <w:kern w:val="0"/>
          <w:sz w:val="24"/>
          <w:szCs w:val="24"/>
        </w:rPr>
        <w:t xml:space="preserve"> </w:t>
      </w:r>
    </w:p>
    <w:p w14:paraId="5ED58C72" w14:textId="76D0AEBC" w:rsidR="0022377C" w:rsidRPr="0022377C" w:rsidRDefault="0022377C" w:rsidP="0022377C">
      <w:pPr>
        <w:widowControl/>
        <w:ind w:leftChars="-100" w:left="1" w:hangingChars="96" w:hanging="211"/>
        <w:jc w:val="left"/>
        <w:rPr>
          <w:rFonts w:ascii="ＭＳ ゴシック" w:eastAsia="ＭＳ ゴシック" w:hAnsi="ＭＳ ゴシック" w:cs="ＭＳ Ｐゴシック"/>
          <w:kern w:val="0"/>
          <w:sz w:val="22"/>
        </w:rPr>
      </w:pPr>
      <w:r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D714" w14:textId="77777777" w:rsidR="006D33FC" w:rsidRDefault="006D33FC" w:rsidP="006D33FC">
      <w:r>
        <w:separator/>
      </w:r>
    </w:p>
  </w:endnote>
  <w:endnote w:type="continuationSeparator" w:id="0">
    <w:p w14:paraId="1D6C251B" w14:textId="77777777" w:rsidR="006D33FC" w:rsidRDefault="006D33FC"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F59E" w14:textId="77777777" w:rsidR="006D33FC" w:rsidRDefault="006D33FC" w:rsidP="006D33FC">
      <w:r>
        <w:separator/>
      </w:r>
    </w:p>
  </w:footnote>
  <w:footnote w:type="continuationSeparator" w:id="0">
    <w:p w14:paraId="64FAE88D" w14:textId="77777777" w:rsidR="006D33FC" w:rsidRDefault="006D33FC"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revisionView w:inkAnnotations="0"/>
  <w:defaultTabStop w:val="840"/>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0A347F"/>
    <w:rsid w:val="00130A01"/>
    <w:rsid w:val="00156487"/>
    <w:rsid w:val="0016202F"/>
    <w:rsid w:val="00162C5E"/>
    <w:rsid w:val="00194569"/>
    <w:rsid w:val="001A42B0"/>
    <w:rsid w:val="001F4B8D"/>
    <w:rsid w:val="0022377C"/>
    <w:rsid w:val="00227C3D"/>
    <w:rsid w:val="00285A9F"/>
    <w:rsid w:val="002C0808"/>
    <w:rsid w:val="00351F47"/>
    <w:rsid w:val="003B555F"/>
    <w:rsid w:val="00405824"/>
    <w:rsid w:val="00461DD2"/>
    <w:rsid w:val="0049037B"/>
    <w:rsid w:val="004D34EE"/>
    <w:rsid w:val="004E03F4"/>
    <w:rsid w:val="004F6E05"/>
    <w:rsid w:val="00512BE2"/>
    <w:rsid w:val="005269B5"/>
    <w:rsid w:val="00562C49"/>
    <w:rsid w:val="005E4DF3"/>
    <w:rsid w:val="00612807"/>
    <w:rsid w:val="00697584"/>
    <w:rsid w:val="006D33FC"/>
    <w:rsid w:val="00725BDF"/>
    <w:rsid w:val="00745D9E"/>
    <w:rsid w:val="00752346"/>
    <w:rsid w:val="007778C2"/>
    <w:rsid w:val="007B4DEB"/>
    <w:rsid w:val="007F317F"/>
    <w:rsid w:val="00820D93"/>
    <w:rsid w:val="00823EE2"/>
    <w:rsid w:val="008846E7"/>
    <w:rsid w:val="009D6198"/>
    <w:rsid w:val="00A07A23"/>
    <w:rsid w:val="00AB4310"/>
    <w:rsid w:val="00B3003D"/>
    <w:rsid w:val="00B74B02"/>
    <w:rsid w:val="00C06F8A"/>
    <w:rsid w:val="00C63E2B"/>
    <w:rsid w:val="00C7242C"/>
    <w:rsid w:val="00CB6294"/>
    <w:rsid w:val="00D53BDA"/>
    <w:rsid w:val="00D8688F"/>
    <w:rsid w:val="00DE74EE"/>
    <w:rsid w:val="00E21CED"/>
    <w:rsid w:val="00E23D03"/>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253</Words>
  <Characters>1443</Characters>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2022-08-25T01:19:00Z</dcterms:created>
  <dcterms:modified xsi:type="dcterms:W3CDTF">2022-09-22T06:03:00Z</dcterms:modified>
</cp:coreProperties>
</file>