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44"/>
        </w:rPr>
        <w:t>EDR Setup Fixes Change Log</w:t>
      </w:r>
    </w:p>
    <w:p>
      <w:pPr>
        <w:spacing w:after="240"/>
      </w:pPr>
      <w:r>
        <w:rPr>
          <w:color w:val="64748B"/>
          <w:sz w:val="21"/>
        </w:rPr>
        <w:t>Summary of configuration, setup, and documentation fixes completed for deployment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6"/>
              </w:rPr>
              <w:t>Project</w:t>
              <w:br/>
            </w:r>
            <w:r>
              <w:rPr>
                <w:sz w:val="18"/>
              </w:rPr>
              <w:t>Blockchain-Based EDR System</w:t>
            </w:r>
          </w:p>
        </w:tc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6"/>
              </w:rPr>
              <w:t>Prepared</w:t>
              <w:br/>
            </w:r>
            <w:r>
              <w:rPr>
                <w:sz w:val="18"/>
              </w:rPr>
              <w:t>4 June 2026</w:t>
            </w:r>
          </w:p>
        </w:tc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6"/>
              </w:rPr>
              <w:t>Audience</w:t>
              <w:br/>
            </w:r>
            <w:r>
              <w:rPr>
                <w:sz w:val="18"/>
              </w:rPr>
              <w:t>Testing / deployment team</w:t>
            </w:r>
          </w:p>
        </w:tc>
      </w:tr>
    </w:tbl>
    <w:p/>
    <w:p>
      <w:pPr>
        <w:pStyle w:val="Heading1"/>
      </w:pPr>
      <w:r>
        <w:t>Purpose</w:t>
      </w:r>
    </w:p>
    <w:p>
      <w:r>
        <w:t>This document captures the changes made to the EDR repository to remove setup blockers, align runtime configuration, and make the delivered client package easier to execute in a testing environment.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Scope note: </w:t>
            </w:r>
            <w:r>
              <w:rPr>
                <w:sz w:val="19"/>
              </w:rPr>
              <w:t>The changes below improve setup and deployment readiness. Resolution of functional defects or gaps discovered during formal testing remains outside this setup-fix scope and should be handled by a dedicated implementation team.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pStyle w:val="ListBullet"/>
        <w:spacing w:after="60"/>
      </w:pPr>
      <w:r>
        <w:t>Replaced hardcoded API endpoints, ports, database credentials, and Fabric values with environment-driven configuration.</w:t>
      </w:r>
    </w:p>
    <w:p>
      <w:pPr>
        <w:pStyle w:val="ListBullet"/>
        <w:spacing w:after="60"/>
      </w:pPr>
      <w:r>
        <w:t>Aligned Docker Compose, Dockerfiles, frontend, mobile app, setup documentation, and Caliper configuration with the actual repository structure.</w:t>
      </w:r>
    </w:p>
    <w:p>
      <w:pPr>
        <w:pStyle w:val="ListBullet"/>
        <w:spacing w:after="60"/>
      </w:pPr>
      <w:r>
        <w:t>Added missing runtime folders and Fabric config required by the Fabric test-network scripts.</w:t>
      </w:r>
    </w:p>
    <w:p>
      <w:pPr>
        <w:pStyle w:val="ListBullet"/>
        <w:spacing w:after="60"/>
      </w:pPr>
      <w:r>
        <w:t>Updated the handover documentation to reference the actual dump.sql import flow, real Express routes, and correct mobile/web environment variables.</w:t>
      </w:r>
    </w:p>
    <w:p>
      <w:pPr>
        <w:pStyle w:val="ListBullet"/>
        <w:spacing w:after="60"/>
      </w:pPr>
      <w:r>
        <w:t>No additional client code appears to be required for these setup fixes, apart from real secrets, server access, and final runtime validation.</w:t>
      </w:r>
    </w:p>
    <w:p>
      <w:pPr>
        <w:pStyle w:val="Heading1"/>
      </w:pPr>
      <w:r>
        <w:t>Change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0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23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Files</w:t>
            </w:r>
          </w:p>
        </w:tc>
        <w:tc>
          <w:tcPr>
            <w:tcW w:type="dxa" w:w="280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Change Made</w:t>
            </w:r>
          </w:p>
        </w:tc>
        <w:tc>
          <w:tcPr>
            <w:tcW w:type="dxa" w:w="223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Reason / Impact</w:t>
            </w:r>
          </w:p>
        </w:tc>
      </w:tr>
      <w:tr>
        <w:tc>
          <w:tcPr>
            <w:tcW w:type="dxa" w:w="504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Database API configuration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backend/server.js; backend/.env.example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Loaded .env, moved DB host/port/name/user/password, JWT secret, CORS origin, API port, and blockchain API URL to environment variables. Default port is now 3001.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Fresh local or EC2 setup no longer depends on hardcoded MySQL host mysql-server, password, or old 8080 assumptions.</w:t>
            </w:r>
          </w:p>
        </w:tc>
      </w:tr>
      <w:tr>
        <w:tc>
          <w:tcPr>
            <w:tcW w:type="dxa" w:w="504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Blockchain API configuration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dental-backend/config.js; dental-backend/index.js; enrollAdmin.js; registerUser.js; dental-backend/.env.example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Added a shared config loader for port, channel, chaincode, connection profile, wallet, identity, and CORS. Enrollment scripts now create wallet folders if missing.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Fabric API can be started from the repo consistently after network.sh regenerates the connection profile.</w:t>
            </w:r>
          </w:p>
        </w:tc>
      </w:tr>
      <w:tr>
        <w:tc>
          <w:tcPr>
            <w:tcW w:type="dxa" w:w="504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Duplicate blockchain entry point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dental-backend/index.mjs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Replaced the stale duplicate implementation with a compatibility wrapper that imports index.js.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Avoids two API implementations with different ports and hardcoded Fabric defaults.</w:t>
            </w:r>
          </w:p>
        </w:tc>
      </w:tr>
      <w:tr>
        <w:tc>
          <w:tcPr>
            <w:tcW w:type="dxa" w:w="504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Web frontend API configuration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bc-dentistry-frontend/src/config/api.js and updated web pages/components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Added databaseUrl and blockchainUrl helpers and replaced hardcoded localhost:8080/8081 calls. Vite env example now uses http://localhost:3000 and :3001 without /api suffix.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same web build can target local, EC2, or future domain-based endpoints.</w:t>
            </w:r>
          </w:p>
        </w:tc>
      </w:tr>
      <w:tr>
        <w:tc>
          <w:tcPr>
            <w:tcW w:type="dxa" w:w="504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Mobile API configuration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BC-Dentistry-Mobile-App/config/api.js and updated request/sign-in components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Added Expo public API variables and replaced the old openuae.fortiddns.com:28081 endpoint.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Physical-device testing can point to the EC2 public IP or domain without editing source code.</w:t>
            </w:r>
          </w:p>
        </w:tc>
      </w:tr>
      <w:tr>
        <w:tc>
          <w:tcPr>
            <w:tcW w:type="dxa" w:w="504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Docker and Compose alignment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docker-compose.yml; backend/Dockerfile; dental-backend/Dockerfile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Compose now starts MySQL and database-api with DB_HOST=mysql, port 3001, and host.docker.internal for blockchain API callbacks. Backend Dockerfile exposes 3001; blockchain Dockerfile added for optional containerization.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Docker setup now matches the actual runtime ports and service names.</w:t>
            </w:r>
          </w:p>
        </w:tc>
      </w:tr>
      <w:tr>
        <w:tc>
          <w:tcPr>
            <w:tcW w:type="dxa" w:w="504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Fabric runtime support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fabric-samples/config/core.yaml; dental-backend/connection/.gitkeep; dental-backend/wallet/.gitkeep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Restored the expected Fabric config folder and added runtime directory placeholders.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network.sh and peer CLI setup no longer fail because ../config or runtime folders are missing.</w:t>
            </w:r>
          </w:p>
        </w:tc>
      </w:tr>
      <w:tr>
        <w:tc>
          <w:tcPr>
            <w:tcW w:type="dxa" w:w="504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Caliper setup repair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caliper-benchmarks/update-test-network-config.sh; caliper-benchmarks/networks/fabric/test-network.yaml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Added a script that finds the generated User1 private key and rewrites the Caliper network config for the current machine.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Removes old absolute /home/openuae paths and avoids client-specific key filenames.</w:t>
            </w:r>
          </w:p>
        </w:tc>
      </w:tr>
      <w:tr>
        <w:tc>
          <w:tcPr>
            <w:tcW w:type="dxa" w:w="504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Documentation alignment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README.md; docs/SETUP.md; database/README.md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Updated folder names, commands, env variables, actual API routes, database dump instructions, mobile credential note, and Caliper run steps.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Testing team can execute the setup without relying on outdated folder names, stale container IDs, or missing schema.sql/seed.sql files.</w:t>
            </w:r>
          </w:p>
        </w:tc>
      </w:tr>
    </w:tbl>
    <w:p/>
    <w:p>
      <w:pPr>
        <w:pStyle w:val="Heading1"/>
      </w:pPr>
      <w:r>
        <w:t>Verification Performed</w:t>
      </w:r>
    </w:p>
    <w:p>
      <w:pPr>
        <w:pStyle w:val="ListBullet"/>
        <w:spacing w:after="60"/>
      </w:pPr>
      <w:r>
        <w:t>Syntax checks passed for backend/server.js, dental-backend/index.js, dental-backend/config.js, enrollAdmin.js, registerUser.js, and both new API config helper files.</w:t>
      </w:r>
    </w:p>
    <w:p>
      <w:pPr>
        <w:pStyle w:val="ListBullet"/>
        <w:spacing w:after="60"/>
      </w:pPr>
      <w:r>
        <w:t>docker-compose config --services parsed successfully and returned mysql and database-api. The local Docker CLI emitted a user-profile config warning, but the Compose file itself parsed correctly.</w:t>
      </w:r>
    </w:p>
    <w:p>
      <w:pPr>
        <w:pStyle w:val="ListBullet"/>
        <w:spacing w:after="60"/>
      </w:pPr>
      <w:r>
        <w:t>A stale-reference scan found no remaining project-facing references to old 8080/8081 endpoints, openuae.fortiddns.com, old /api env suffixes, stale folder names, old container IDs, or old Caliper absolute paths.</w:t>
      </w:r>
    </w:p>
    <w:p>
      <w:pPr>
        <w:pStyle w:val="ListBullet"/>
        <w:spacing w:after="60"/>
      </w:pPr>
      <w:r>
        <w:t>Full runtime startup, npm install, Fabric network start, and frontend build were not executed because local dependencies were not installed and real environment secrets/server runtime were not available in this workspace.</w:t>
      </w:r>
    </w:p>
    <w:p>
      <w:pPr>
        <w:pStyle w:val="Heading1"/>
      </w:pPr>
      <w:r>
        <w:t>Remaining Inputs Before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23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Required From</w:t>
            </w:r>
          </w:p>
        </w:tc>
        <w:tc>
          <w:tcPr>
            <w:tcW w:type="dxa" w:w="424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Real MySQL root password and JWT secrets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owner / secure channel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 not commit real values to the repository.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EC2 public IP or domain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Infrastructure owner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Needed for VITE_* and EXPO_PUBLIC_* URLs if testing from browsers/mobile devices.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 group allowlist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Infrastructure owner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Expose only required ports to tester IPs; avoid public Fabric/MySQL exposure.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Runtime validation window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Testing team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Needed to run Fabric, APIs, web, mobile, and Caliper end to end.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Defect remediation team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Client / project owner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Any defects discovered during testing should be resolved by a separate implementation team.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EDR testing handover | University of Sharjah project support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