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pPr>
    </w:p>
    <w:p>
      <w:pPr>
        <w:spacing w:after="240"/>
        <w:jc w:val="center"/>
      </w:pPr>
      <w:r>
        <w:rPr>
          <w:rFonts w:ascii="Arial" w:hAnsi="Arial" w:eastAsia="Arial"/>
          <w:b/>
          <w:i w:val="0"/>
          <w:color w:val="1F4E79"/>
          <w:sz w:val="50"/>
        </w:rPr>
        <w:t>EDR Testing Services</w:t>
        <w:br/>
        <w:t>Tooling and Scope Mapping</w:t>
      </w:r>
    </w:p>
    <w:p>
      <w:pPr>
        <w:spacing w:after="440"/>
        <w:jc w:val="center"/>
      </w:pPr>
      <w:r>
        <w:rPr>
          <w:rFonts w:ascii="Arial" w:hAnsi="Arial" w:eastAsia="Arial"/>
          <w:b w:val="0"/>
          <w:i w:val="0"/>
          <w:color w:val="6B7280"/>
          <w:sz w:val="25"/>
        </w:rPr>
        <w:t>Blockchain-Based Electronic Dental Record (EDR) Sharing and Management System</w:t>
      </w:r>
    </w:p>
    <w:tbl>
      <w:tblPr>
        <w:tblStyle w:val="TableGrid"/>
        <w:tblW w:type="auto" w:w="0"/>
        <w:tblLayout w:type="autofit"/>
        <w:tblLook w:firstColumn="1" w:firstRow="1" w:lastColumn="0" w:lastRow="0" w:noHBand="0" w:noVBand="1" w:val="04A0"/>
      </w:tblPr>
      <w:tblGrid>
        <w:gridCol w:w="7710"/>
        <w:gridCol w:w="7710"/>
      </w:tblGrid>
      <w:tr>
        <w:trPr>
          <w:tblHeader w:val="true"/>
        </w:trPr>
        <w:tc>
          <w:tcPr>
            <w:tcW w:type="dxa" w:w="3168"/>
            <w:vAlign w:val="center"/>
            <w:tcMar>
              <w:top w:w="90" w:type="dxa"/>
              <w:start w:w="90" w:type="dxa"/>
              <w:bottom w:w="90" w:type="dxa"/>
              <w:end w:w="90" w:type="dxa"/>
            </w:tcMar>
            <w:shd w:fill="1F4E79"/>
          </w:tcPr>
          <w:p>
            <w:pPr>
              <w:spacing w:after="0" w:line="252" w:lineRule="auto"/>
            </w:pPr>
            <w:r>
              <w:rPr>
                <w:rFonts w:ascii="Arial" w:hAnsi="Arial" w:eastAsia="Arial"/>
                <w:b/>
                <w:i w:val="0"/>
                <w:color w:val="FFFFFF"/>
                <w:sz w:val="17"/>
              </w:rPr>
              <w:t>Version</w:t>
            </w:r>
          </w:p>
        </w:tc>
        <w:tc>
          <w:tcPr>
            <w:tcW w:type="dxa" w:w="9792"/>
            <w:vAlign w:val="center"/>
            <w:tcMar>
              <w:top w:w="90" w:type="dxa"/>
              <w:start w:w="90" w:type="dxa"/>
              <w:bottom w:w="90" w:type="dxa"/>
              <w:end w:w="90" w:type="dxa"/>
            </w:tcMar>
            <w:shd w:fill="1F4E79"/>
          </w:tcPr>
          <w:p>
            <w:pPr>
              <w:spacing w:after="0" w:line="252" w:lineRule="auto"/>
            </w:pPr>
            <w:r>
              <w:rPr>
                <w:rFonts w:ascii="Arial" w:hAnsi="Arial" w:eastAsia="Arial"/>
                <w:b/>
                <w:i w:val="0"/>
                <w:color w:val="FFFFFF"/>
                <w:sz w:val="17"/>
              </w:rPr>
              <w:t>Draft 0.2</w:t>
            </w:r>
          </w:p>
        </w:tc>
      </w:tr>
      <w:tr>
        <w:tc>
          <w:tcPr>
            <w:tcW w:type="dxa" w:w="3168"/>
            <w:vAlign w:val="center"/>
            <w:tcMar>
              <w:top w:w="90" w:type="dxa"/>
              <w:start w:w="90" w:type="dxa"/>
              <w:bottom w:w="90" w:type="dxa"/>
              <w:end w:w="90" w:type="dxa"/>
            </w:tcMar>
          </w:tcPr>
          <w:p>
            <w:pPr>
              <w:spacing w:after="0" w:line="252" w:lineRule="auto"/>
            </w:pPr>
            <w:r>
              <w:rPr>
                <w:rFonts w:ascii="Arial" w:hAnsi="Arial" w:eastAsia="Arial"/>
                <w:b w:val="0"/>
                <w:i w:val="0"/>
                <w:sz w:val="17"/>
              </w:rPr>
              <w:t>Project</w:t>
            </w:r>
          </w:p>
        </w:tc>
        <w:tc>
          <w:tcPr>
            <w:tcW w:type="dxa" w:w="9792"/>
            <w:vAlign w:val="center"/>
            <w:tcMar>
              <w:top w:w="90" w:type="dxa"/>
              <w:start w:w="90" w:type="dxa"/>
              <w:bottom w:w="90" w:type="dxa"/>
              <w:end w:w="90" w:type="dxa"/>
            </w:tcMar>
          </w:tcPr>
          <w:p>
            <w:pPr>
              <w:spacing w:after="0" w:line="252" w:lineRule="auto"/>
            </w:pPr>
            <w:r>
              <w:rPr>
                <w:rFonts w:ascii="Arial" w:hAnsi="Arial" w:eastAsia="Arial"/>
                <w:b w:val="0"/>
                <w:i w:val="0"/>
                <w:sz w:val="17"/>
              </w:rPr>
              <w:t>Blockchain-Based Electronic Dental Record (EDR) Sharing and Management System</w:t>
            </w:r>
          </w:p>
        </w:tc>
      </w:tr>
      <w:tr>
        <w:tc>
          <w:tcPr>
            <w:tcW w:type="dxa" w:w="3168"/>
            <w:vAlign w:val="center"/>
            <w:tcMar>
              <w:top w:w="90" w:type="dxa"/>
              <w:start w:w="90" w:type="dxa"/>
              <w:bottom w:w="90" w:type="dxa"/>
              <w:end w:w="90" w:type="dxa"/>
            </w:tcMar>
            <w:shd w:fill="F6FAFD"/>
          </w:tcPr>
          <w:p>
            <w:pPr>
              <w:spacing w:after="0" w:line="252" w:lineRule="auto"/>
            </w:pPr>
            <w:r>
              <w:rPr>
                <w:rFonts w:ascii="Arial" w:hAnsi="Arial" w:eastAsia="Arial"/>
                <w:b w:val="0"/>
                <w:i w:val="0"/>
                <w:sz w:val="17"/>
              </w:rPr>
              <w:t>Prepared for discussion</w:t>
            </w:r>
          </w:p>
        </w:tc>
        <w:tc>
          <w:tcPr>
            <w:tcW w:type="dxa" w:w="9792"/>
            <w:vAlign w:val="center"/>
            <w:tcMar>
              <w:top w:w="90" w:type="dxa"/>
              <w:start w:w="90" w:type="dxa"/>
              <w:bottom w:w="90" w:type="dxa"/>
              <w:end w:w="90" w:type="dxa"/>
            </w:tcMar>
            <w:shd w:fill="F6FAFD"/>
          </w:tcPr>
          <w:p>
            <w:pPr>
              <w:spacing w:after="0" w:line="252" w:lineRule="auto"/>
            </w:pPr>
            <w:r>
              <w:rPr>
                <w:rFonts w:ascii="Arial" w:hAnsi="Arial" w:eastAsia="Arial"/>
                <w:b w:val="0"/>
                <w:i w:val="0"/>
                <w:sz w:val="17"/>
              </w:rPr>
              <w:t>Synergic testing services scope alignment</w:t>
            </w:r>
          </w:p>
        </w:tc>
      </w:tr>
    </w:tbl>
    <w:tbl>
      <w:tblPr>
        <w:tblW w:type="auto" w:w="0"/>
        <w:tblLayout w:type="autofit"/>
        <w:tblLook w:firstColumn="1" w:firstRow="1" w:lastColumn="0" w:lastRow="0" w:noHBand="0" w:noVBand="1" w:val="04A0"/>
      </w:tblPr>
      <w:tblGrid>
        <w:gridCol w:w="15420"/>
      </w:tblGrid>
      <w:tr>
        <w:tc>
          <w:tcPr>
            <w:tcW w:type="dxa" w:w="15420"/>
            <w:shd w:fill="FDECEC"/>
            <w:tcMar>
              <w:top w:w="150" w:type="dxa"/>
              <w:start w:w="170" w:type="dxa"/>
              <w:bottom w:w="150" w:type="dxa"/>
              <w:end w:w="170" w:type="dxa"/>
            </w:tcMar>
          </w:tcPr>
          <w:p>
            <w:pPr>
              <w:spacing w:after="80"/>
            </w:pPr>
            <w:r>
              <w:rPr>
                <w:rFonts w:ascii="Arial" w:hAnsi="Arial" w:eastAsia="Arial"/>
                <w:b/>
                <w:i w:val="0"/>
                <w:color w:val="A61B1B"/>
                <w:sz w:val="21"/>
              </w:rPr>
              <w:t>Scope boundary</w:t>
            </w:r>
          </w:p>
          <w:p>
            <w:pPr>
              <w:spacing w:after="0"/>
            </w:pPr>
            <w:r>
              <w:rPr>
                <w:rFonts w:ascii="Arial" w:hAnsi="Arial" w:eastAsia="Arial"/>
                <w:b w:val="0"/>
                <w:i w:val="0"/>
                <w:sz w:val="18"/>
              </w:rPr>
              <w:t>Resolution of any defects, vulnerabilities, compliance gaps, architecture gaps, performance bottlenecks, Kubernetes migration requirements, or implementation issues identified during testing is outside the testing service scope. A dedicated implementation team must be arranged separately to implement fixes.</w:t>
            </w:r>
          </w:p>
        </w:tc>
      </w:tr>
    </w:tbl>
    <w:p/>
    <w:p>
      <w:r>
        <w:br w:type="page"/>
      </w:r>
    </w:p>
    <w:p>
      <w:pPr>
        <w:pStyle w:val="Heading1"/>
      </w:pPr>
      <w:r>
        <w:t>Contents</w:t>
      </w:r>
    </w:p>
    <w:tbl>
      <w:tblPr>
        <w:tblStyle w:val="TableGrid"/>
        <w:tblW w:type="auto" w:w="0"/>
        <w:tblLayout w:type="autofit"/>
        <w:tblLook w:firstColumn="1" w:firstRow="1" w:lastColumn="0" w:lastRow="0" w:noHBand="0" w:noVBand="1" w:val="04A0"/>
      </w:tblPr>
      <w:tblGrid>
        <w:gridCol w:w="7710"/>
        <w:gridCol w:w="7710"/>
      </w:tblGrid>
      <w:tr>
        <w:trPr>
          <w:tblHeader w:val="true"/>
        </w:trPr>
        <w:tc>
          <w:tcPr>
            <w:tcW w:type="dxa" w:w="7200"/>
            <w:vAlign w:val="center"/>
            <w:tcMar>
              <w:top w:w="90" w:type="dxa"/>
              <w:start w:w="90" w:type="dxa"/>
              <w:bottom w:w="90" w:type="dxa"/>
              <w:end w:w="90" w:type="dxa"/>
            </w:tcMar>
            <w:shd w:fill="1F4E79"/>
          </w:tcPr>
          <w:p>
            <w:pPr>
              <w:spacing w:after="0" w:line="252" w:lineRule="auto"/>
            </w:pPr>
            <w:r>
              <w:rPr>
                <w:rFonts w:ascii="Arial" w:hAnsi="Arial" w:eastAsia="Arial"/>
                <w:b/>
                <w:i w:val="0"/>
                <w:color w:val="FFFFFF"/>
                <w:sz w:val="17"/>
              </w:rPr>
              <w:t>1. Purpose</w:t>
            </w:r>
          </w:p>
        </w:tc>
        <w:tc>
          <w:tcPr>
            <w:tcW w:type="dxa" w:w="7200"/>
            <w:vAlign w:val="center"/>
            <w:tcMar>
              <w:top w:w="90" w:type="dxa"/>
              <w:start w:w="90" w:type="dxa"/>
              <w:bottom w:w="90" w:type="dxa"/>
              <w:end w:w="90" w:type="dxa"/>
            </w:tcMar>
            <w:shd w:fill="1F4E79"/>
          </w:tcPr>
          <w:p>
            <w:pPr>
              <w:spacing w:after="0" w:line="252" w:lineRule="auto"/>
            </w:pPr>
            <w:r>
              <w:rPr>
                <w:rFonts w:ascii="Arial" w:hAnsi="Arial" w:eastAsia="Arial"/>
                <w:b/>
                <w:i w:val="0"/>
                <w:color w:val="FFFFFF"/>
                <w:sz w:val="17"/>
              </w:rPr>
              <w:t>10. Performance Benchmarking Scope</w:t>
            </w:r>
          </w:p>
        </w:tc>
      </w:tr>
      <w:tr>
        <w:tc>
          <w:tcPr>
            <w:tcW w:type="dxa" w:w="7200"/>
            <w:vAlign w:val="center"/>
            <w:tcMar>
              <w:top w:w="90" w:type="dxa"/>
              <w:start w:w="90" w:type="dxa"/>
              <w:bottom w:w="90" w:type="dxa"/>
              <w:end w:w="90" w:type="dxa"/>
            </w:tcMar>
          </w:tcPr>
          <w:p>
            <w:pPr>
              <w:spacing w:after="0" w:line="252" w:lineRule="auto"/>
            </w:pPr>
            <w:r>
              <w:rPr>
                <w:rFonts w:ascii="Arial" w:hAnsi="Arial" w:eastAsia="Arial"/>
                <w:b w:val="0"/>
                <w:i w:val="0"/>
                <w:sz w:val="17"/>
              </w:rPr>
              <w:t>2. Governing Inputs</w:t>
            </w:r>
          </w:p>
        </w:tc>
        <w:tc>
          <w:tcPr>
            <w:tcW w:type="dxa" w:w="7200"/>
            <w:vAlign w:val="center"/>
            <w:tcMar>
              <w:top w:w="90" w:type="dxa"/>
              <w:start w:w="90" w:type="dxa"/>
              <w:bottom w:w="90" w:type="dxa"/>
              <w:end w:w="90" w:type="dxa"/>
            </w:tcMar>
          </w:tcPr>
          <w:p>
            <w:pPr>
              <w:spacing w:after="0" w:line="252" w:lineRule="auto"/>
            </w:pPr>
            <w:r>
              <w:rPr>
                <w:rFonts w:ascii="Arial" w:hAnsi="Arial" w:eastAsia="Arial"/>
                <w:b w:val="0"/>
                <w:i w:val="0"/>
                <w:sz w:val="17"/>
              </w:rPr>
              <w:t>11. Horizontal Scaling and Environment Recommendation</w:t>
            </w:r>
          </w:p>
        </w:tc>
      </w:tr>
      <w:tr>
        <w:tc>
          <w:tcPr>
            <w:tcW w:type="dxa" w:w="7200"/>
            <w:vAlign w:val="center"/>
            <w:tcMar>
              <w:top w:w="90" w:type="dxa"/>
              <w:start w:w="90" w:type="dxa"/>
              <w:bottom w:w="90" w:type="dxa"/>
              <w:end w:w="90" w:type="dxa"/>
            </w:tcMar>
            <w:shd w:fill="F6FAFD"/>
          </w:tcPr>
          <w:p>
            <w:pPr>
              <w:spacing w:after="0" w:line="252" w:lineRule="auto"/>
            </w:pPr>
            <w:r>
              <w:rPr>
                <w:rFonts w:ascii="Arial" w:hAnsi="Arial" w:eastAsia="Arial"/>
                <w:b w:val="0"/>
                <w:i w:val="0"/>
                <w:sz w:val="17"/>
              </w:rPr>
              <w:t>3. Core Scope Boundary</w:t>
            </w:r>
          </w:p>
        </w:tc>
        <w:tc>
          <w:tcPr>
            <w:tcW w:type="dxa" w:w="7200"/>
            <w:vAlign w:val="center"/>
            <w:tcMar>
              <w:top w:w="90" w:type="dxa"/>
              <w:start w:w="90" w:type="dxa"/>
              <w:bottom w:w="90" w:type="dxa"/>
              <w:end w:w="90" w:type="dxa"/>
            </w:tcMar>
            <w:shd w:fill="F6FAFD"/>
          </w:tcPr>
          <w:p>
            <w:pPr>
              <w:spacing w:after="0" w:line="252" w:lineRule="auto"/>
            </w:pPr>
            <w:r>
              <w:rPr>
                <w:rFonts w:ascii="Arial" w:hAnsi="Arial" w:eastAsia="Arial"/>
                <w:b w:val="0"/>
                <w:i w:val="0"/>
                <w:sz w:val="17"/>
              </w:rPr>
              <w:t>12. HIPAA Compliance Testing Scope</w:t>
            </w:r>
          </w:p>
        </w:tc>
      </w:tr>
      <w:tr>
        <w:tc>
          <w:tcPr>
            <w:tcW w:type="dxa" w:w="7200"/>
            <w:vAlign w:val="center"/>
            <w:tcMar>
              <w:top w:w="90" w:type="dxa"/>
              <w:start w:w="90" w:type="dxa"/>
              <w:bottom w:w="90" w:type="dxa"/>
              <w:end w:w="90" w:type="dxa"/>
            </w:tcMar>
          </w:tcPr>
          <w:p>
            <w:pPr>
              <w:spacing w:after="0" w:line="252" w:lineRule="auto"/>
            </w:pPr>
            <w:r>
              <w:rPr>
                <w:rFonts w:ascii="Arial" w:hAnsi="Arial" w:eastAsia="Arial"/>
                <w:b w:val="0"/>
                <w:i w:val="0"/>
                <w:sz w:val="17"/>
              </w:rPr>
              <w:t>4. Tooling Principle</w:t>
            </w:r>
          </w:p>
        </w:tc>
        <w:tc>
          <w:tcPr>
            <w:tcW w:type="dxa" w:w="7200"/>
            <w:vAlign w:val="center"/>
            <w:tcMar>
              <w:top w:w="90" w:type="dxa"/>
              <w:start w:w="90" w:type="dxa"/>
              <w:bottom w:w="90" w:type="dxa"/>
              <w:end w:w="90" w:type="dxa"/>
            </w:tcMar>
          </w:tcPr>
          <w:p>
            <w:pPr>
              <w:spacing w:after="0" w:line="252" w:lineRule="auto"/>
            </w:pPr>
            <w:r>
              <w:rPr>
                <w:rFonts w:ascii="Arial" w:hAnsi="Arial" w:eastAsia="Arial"/>
                <w:b w:val="0"/>
                <w:i w:val="0"/>
                <w:sz w:val="17"/>
              </w:rPr>
              <w:t>13. GDPR Compliance Testing Scope</w:t>
            </w:r>
          </w:p>
        </w:tc>
      </w:tr>
      <w:tr>
        <w:tc>
          <w:tcPr>
            <w:tcW w:type="dxa" w:w="7200"/>
            <w:vAlign w:val="center"/>
            <w:tcMar>
              <w:top w:w="90" w:type="dxa"/>
              <w:start w:w="90" w:type="dxa"/>
              <w:bottom w:w="90" w:type="dxa"/>
              <w:end w:w="90" w:type="dxa"/>
            </w:tcMar>
            <w:shd w:fill="F6FAFD"/>
          </w:tcPr>
          <w:p>
            <w:pPr>
              <w:spacing w:after="0" w:line="252" w:lineRule="auto"/>
            </w:pPr>
            <w:r>
              <w:rPr>
                <w:rFonts w:ascii="Arial" w:hAnsi="Arial" w:eastAsia="Arial"/>
                <w:b w:val="0"/>
                <w:i w:val="0"/>
                <w:sz w:val="17"/>
              </w:rPr>
              <w:t>5. Dependencies Required to Execute Testing Scope</w:t>
            </w:r>
          </w:p>
        </w:tc>
        <w:tc>
          <w:tcPr>
            <w:tcW w:type="dxa" w:w="7200"/>
            <w:vAlign w:val="center"/>
            <w:tcMar>
              <w:top w:w="90" w:type="dxa"/>
              <w:start w:w="90" w:type="dxa"/>
              <w:bottom w:w="90" w:type="dxa"/>
              <w:end w:w="90" w:type="dxa"/>
            </w:tcMar>
            <w:shd w:fill="F6FAFD"/>
          </w:tcPr>
          <w:p>
            <w:pPr>
              <w:spacing w:after="0" w:line="252" w:lineRule="auto"/>
            </w:pPr>
            <w:r>
              <w:rPr>
                <w:rFonts w:ascii="Arial" w:hAnsi="Arial" w:eastAsia="Arial"/>
                <w:b w:val="0"/>
                <w:i w:val="0"/>
                <w:sz w:val="17"/>
              </w:rPr>
              <w:t>14. Consent Workflow Verification Scope</w:t>
            </w:r>
          </w:p>
        </w:tc>
      </w:tr>
      <w:tr>
        <w:tc>
          <w:tcPr>
            <w:tcW w:type="dxa" w:w="7200"/>
            <w:vAlign w:val="center"/>
            <w:tcMar>
              <w:top w:w="90" w:type="dxa"/>
              <w:start w:w="90" w:type="dxa"/>
              <w:bottom w:w="90" w:type="dxa"/>
              <w:end w:w="90" w:type="dxa"/>
            </w:tcMar>
          </w:tcPr>
          <w:p>
            <w:pPr>
              <w:spacing w:after="0" w:line="252" w:lineRule="auto"/>
            </w:pPr>
            <w:r>
              <w:rPr>
                <w:rFonts w:ascii="Arial" w:hAnsi="Arial" w:eastAsia="Arial"/>
                <w:b w:val="0"/>
                <w:i w:val="0"/>
                <w:sz w:val="17"/>
              </w:rPr>
              <w:t>6. Deliverable-to-Tool Mapping</w:t>
            </w:r>
          </w:p>
        </w:tc>
        <w:tc>
          <w:tcPr>
            <w:tcW w:type="dxa" w:w="7200"/>
            <w:vAlign w:val="center"/>
            <w:tcMar>
              <w:top w:w="90" w:type="dxa"/>
              <w:start w:w="90" w:type="dxa"/>
              <w:bottom w:w="90" w:type="dxa"/>
              <w:end w:w="90" w:type="dxa"/>
            </w:tcMar>
          </w:tcPr>
          <w:p>
            <w:pPr>
              <w:spacing w:after="0" w:line="252" w:lineRule="auto"/>
            </w:pPr>
            <w:r>
              <w:rPr>
                <w:rFonts w:ascii="Arial" w:hAnsi="Arial" w:eastAsia="Arial"/>
                <w:b w:val="0"/>
                <w:i w:val="0"/>
                <w:sz w:val="17"/>
              </w:rPr>
              <w:t>15. Evidence and Reporting Standards</w:t>
            </w:r>
          </w:p>
        </w:tc>
      </w:tr>
      <w:tr>
        <w:tc>
          <w:tcPr>
            <w:tcW w:type="dxa" w:w="7200"/>
            <w:vAlign w:val="center"/>
            <w:tcMar>
              <w:top w:w="90" w:type="dxa"/>
              <w:start w:w="90" w:type="dxa"/>
              <w:bottom w:w="90" w:type="dxa"/>
              <w:end w:w="90" w:type="dxa"/>
            </w:tcMar>
            <w:shd w:fill="F6FAFD"/>
          </w:tcPr>
          <w:p>
            <w:pPr>
              <w:spacing w:after="0" w:line="252" w:lineRule="auto"/>
            </w:pPr>
            <w:r>
              <w:rPr>
                <w:rFonts w:ascii="Arial" w:hAnsi="Arial" w:eastAsia="Arial"/>
                <w:b w:val="0"/>
                <w:i w:val="0"/>
                <w:sz w:val="17"/>
              </w:rPr>
              <w:t>7. Functional Testing Scope</w:t>
            </w:r>
          </w:p>
        </w:tc>
        <w:tc>
          <w:tcPr>
            <w:tcW w:type="dxa" w:w="7200"/>
            <w:vAlign w:val="center"/>
            <w:tcMar>
              <w:top w:w="90" w:type="dxa"/>
              <w:start w:w="90" w:type="dxa"/>
              <w:bottom w:w="90" w:type="dxa"/>
              <w:end w:w="90" w:type="dxa"/>
            </w:tcMar>
            <w:shd w:fill="F6FAFD"/>
          </w:tcPr>
          <w:p>
            <w:pPr>
              <w:spacing w:after="0" w:line="252" w:lineRule="auto"/>
            </w:pPr>
            <w:r>
              <w:rPr>
                <w:rFonts w:ascii="Arial" w:hAnsi="Arial" w:eastAsia="Arial"/>
                <w:b w:val="0"/>
                <w:i w:val="0"/>
                <w:sz w:val="17"/>
              </w:rPr>
              <w:t>16. Key Assumptions and Client Responsibilities</w:t>
            </w:r>
          </w:p>
        </w:tc>
      </w:tr>
      <w:tr>
        <w:tc>
          <w:tcPr>
            <w:tcW w:type="dxa" w:w="7200"/>
            <w:vAlign w:val="center"/>
            <w:tcMar>
              <w:top w:w="90" w:type="dxa"/>
              <w:start w:w="90" w:type="dxa"/>
              <w:bottom w:w="90" w:type="dxa"/>
              <w:end w:w="90" w:type="dxa"/>
            </w:tcMar>
          </w:tcPr>
          <w:p>
            <w:pPr>
              <w:spacing w:after="0" w:line="252" w:lineRule="auto"/>
            </w:pPr>
            <w:r>
              <w:rPr>
                <w:rFonts w:ascii="Arial" w:hAnsi="Arial" w:eastAsia="Arial"/>
                <w:b w:val="0"/>
                <w:i w:val="0"/>
                <w:sz w:val="17"/>
              </w:rPr>
              <w:t>8. Smart Contract and Code Review Scope</w:t>
            </w:r>
          </w:p>
        </w:tc>
        <w:tc>
          <w:tcPr>
            <w:tcW w:type="dxa" w:w="7200"/>
            <w:vAlign w:val="center"/>
            <w:tcMar>
              <w:top w:w="90" w:type="dxa"/>
              <w:start w:w="90" w:type="dxa"/>
              <w:bottom w:w="90" w:type="dxa"/>
              <w:end w:w="90" w:type="dxa"/>
            </w:tcMar>
          </w:tcPr>
          <w:p>
            <w:pPr>
              <w:spacing w:after="0" w:line="252" w:lineRule="auto"/>
            </w:pPr>
            <w:r>
              <w:rPr>
                <w:rFonts w:ascii="Arial" w:hAnsi="Arial" w:eastAsia="Arial"/>
                <w:b w:val="0"/>
                <w:i w:val="0"/>
                <w:sz w:val="17"/>
              </w:rPr>
              <w:t>17. Open Items Before Command Runbook</w:t>
            </w:r>
          </w:p>
        </w:tc>
      </w:tr>
      <w:tr>
        <w:tc>
          <w:tcPr>
            <w:tcW w:type="dxa" w:w="7200"/>
            <w:vAlign w:val="center"/>
            <w:tcMar>
              <w:top w:w="90" w:type="dxa"/>
              <w:start w:w="90" w:type="dxa"/>
              <w:bottom w:w="90" w:type="dxa"/>
              <w:end w:w="90" w:type="dxa"/>
            </w:tcMar>
            <w:shd w:fill="F6FAFD"/>
          </w:tcPr>
          <w:p>
            <w:pPr>
              <w:spacing w:after="0" w:line="252" w:lineRule="auto"/>
            </w:pPr>
            <w:r>
              <w:rPr>
                <w:rFonts w:ascii="Arial" w:hAnsi="Arial" w:eastAsia="Arial"/>
                <w:b w:val="0"/>
                <w:i w:val="0"/>
                <w:sz w:val="17"/>
              </w:rPr>
              <w:t>9. Security Testing Scope</w:t>
            </w:r>
          </w:p>
        </w:tc>
        <w:tc>
          <w:tcPr>
            <w:tcW w:type="dxa" w:w="7200"/>
            <w:vAlign w:val="center"/>
            <w:tcMar>
              <w:top w:w="90" w:type="dxa"/>
              <w:start w:w="90" w:type="dxa"/>
              <w:bottom w:w="90" w:type="dxa"/>
              <w:end w:w="90" w:type="dxa"/>
            </w:tcMar>
            <w:shd w:fill="F6FAFD"/>
          </w:tcPr>
          <w:p>
            <w:pPr>
              <w:spacing w:after="0" w:line="252" w:lineRule="auto"/>
            </w:pPr>
            <w:r>
              <w:rPr>
                <w:rFonts w:ascii="Arial" w:hAnsi="Arial" w:eastAsia="Arial"/>
                <w:b w:val="0"/>
                <w:i w:val="0"/>
                <w:sz w:val="17"/>
              </w:rPr>
              <w:t>18. Reference Sources for Tool and Regulatory Alignment</w:t>
            </w:r>
          </w:p>
        </w:tc>
      </w:tr>
    </w:tbl>
    <w:p>
      <w:r>
        <w:br w:type="page"/>
      </w:r>
    </w:p>
    <w:p>
      <w:pPr>
        <w:pStyle w:val="Heading1"/>
      </w:pPr>
      <w:r>
        <w:t>1. Purpose</w:t>
      </w:r>
    </w:p>
    <w:p>
      <w:r>
        <w:rPr>
          <w:rFonts w:ascii="Arial" w:hAnsi="Arial" w:eastAsia="Arial"/>
          <w:b w:val="0"/>
          <w:i w:val="0"/>
          <w:sz w:val="19"/>
        </w:rPr>
        <w:t>This document maps the testing services required by the EDR testing deliverables specification to the proposed toolchain, testing scope, evidence to be produced, and explicit exclusions.</w:t>
      </w:r>
    </w:p>
    <w:p>
      <w:r>
        <w:rPr>
          <w:rFonts w:ascii="Arial" w:hAnsi="Arial" w:eastAsia="Arial"/>
          <w:b w:val="0"/>
          <w:i w:val="0"/>
          <w:sz w:val="19"/>
        </w:rPr>
        <w:t>The intent is to define what the testing team will validate and report before detailed command runbooks are prepared. Command-level execution steps, scripts, and exact configuration files will be produced in a later stage after the system under test, repository layout, deployment topology, credentials, test data, and environment access have been confirmed.</w:t>
      </w:r>
    </w:p>
    <w:p>
      <w:pPr>
        <w:pStyle w:val="Heading1"/>
      </w:pPr>
      <w:r>
        <w:t>2. Governing Inputs</w:t>
      </w:r>
    </w:p>
    <w:p>
      <w:r>
        <w:rPr>
          <w:rFonts w:ascii="Arial" w:hAnsi="Arial" w:eastAsia="Arial"/>
          <w:b w:val="0"/>
          <w:i w:val="0"/>
          <w:sz w:val="19"/>
        </w:rPr>
        <w:t>This mapping is based on the following project documents:</w:t>
      </w:r>
    </w:p>
    <w:p>
      <w:pPr>
        <w:spacing w:after="40"/>
      </w:pPr>
      <w:r>
        <w:rPr>
          <w:rFonts w:ascii="Arial" w:hAnsi="Arial" w:eastAsia="Arial"/>
          <w:b w:val="0"/>
          <w:i w:val="0"/>
          <w:sz w:val="18"/>
        </w:rPr>
        <w:t xml:space="preserve">- </w:t>
      </w:r>
      <w:r>
        <w:rPr>
          <w:rFonts w:ascii="Consolas" w:hAnsi="Consolas" w:eastAsia="Consolas"/>
          <w:b w:val="0"/>
          <w:i w:val="0"/>
          <w:sz w:val="18"/>
        </w:rPr>
        <w:t>BRD-EDR-001_Blockchain_EDR_System.docx</w:t>
      </w:r>
    </w:p>
    <w:p>
      <w:pPr>
        <w:spacing w:after="40"/>
      </w:pPr>
      <w:r>
        <w:rPr>
          <w:rFonts w:ascii="Arial" w:hAnsi="Arial" w:eastAsia="Arial"/>
          <w:b w:val="0"/>
          <w:i w:val="0"/>
          <w:sz w:val="18"/>
        </w:rPr>
        <w:t xml:space="preserve">- </w:t>
      </w:r>
      <w:r>
        <w:rPr>
          <w:rFonts w:ascii="Consolas" w:hAnsi="Consolas" w:eastAsia="Consolas"/>
          <w:b w:val="0"/>
          <w:i w:val="0"/>
          <w:sz w:val="18"/>
        </w:rPr>
        <w:t>SRS-EDR-001_Blockchain_EDR_System.docx</w:t>
      </w:r>
    </w:p>
    <w:p>
      <w:pPr>
        <w:spacing w:after="40"/>
      </w:pPr>
      <w:r>
        <w:rPr>
          <w:rFonts w:ascii="Arial" w:hAnsi="Arial" w:eastAsia="Arial"/>
          <w:b w:val="0"/>
          <w:i w:val="0"/>
          <w:sz w:val="18"/>
        </w:rPr>
        <w:t xml:space="preserve">- </w:t>
      </w:r>
      <w:r>
        <w:rPr>
          <w:rFonts w:ascii="Consolas" w:hAnsi="Consolas" w:eastAsia="Consolas"/>
          <w:b w:val="0"/>
          <w:i w:val="0"/>
          <w:sz w:val="18"/>
        </w:rPr>
        <w:t>EDR_Testing_Deliverables_Specification_Synergic_.docx</w:t>
      </w:r>
    </w:p>
    <w:p>
      <w:r>
        <w:rPr>
          <w:rFonts w:ascii="Arial" w:hAnsi="Arial" w:eastAsia="Arial"/>
          <w:b w:val="0"/>
          <w:i w:val="0"/>
          <w:sz w:val="19"/>
        </w:rPr>
        <w:t>The required testing objectives are:</w:t>
      </w:r>
    </w:p>
    <w:p>
      <w:pPr>
        <w:spacing w:after="40"/>
      </w:pPr>
      <w:r>
        <w:rPr>
          <w:rFonts w:ascii="Arial" w:hAnsi="Arial" w:eastAsia="Arial"/>
          <w:b w:val="0"/>
          <w:i w:val="0"/>
          <w:sz w:val="18"/>
        </w:rPr>
        <w:t>- Objective 1: Functional testing and smart contract code review.</w:t>
      </w:r>
    </w:p>
    <w:p>
      <w:pPr>
        <w:spacing w:after="40"/>
      </w:pPr>
      <w:r>
        <w:rPr>
          <w:rFonts w:ascii="Arial" w:hAnsi="Arial" w:eastAsia="Arial"/>
          <w:b w:val="0"/>
          <w:i w:val="0"/>
          <w:sz w:val="18"/>
        </w:rPr>
        <w:t>- Objective 2: Performance benchmarking, consent workflow benchmarking, and multi-clinic scalability assessment.</w:t>
      </w:r>
    </w:p>
    <w:p>
      <w:pPr>
        <w:spacing w:after="40"/>
      </w:pPr>
      <w:r>
        <w:rPr>
          <w:rFonts w:ascii="Arial" w:hAnsi="Arial" w:eastAsia="Arial"/>
          <w:b w:val="0"/>
          <w:i w:val="0"/>
          <w:sz w:val="18"/>
        </w:rPr>
        <w:t>- Objective 3: Security testing and STRIDE-mapped attack validation.</w:t>
      </w:r>
    </w:p>
    <w:p>
      <w:pPr>
        <w:spacing w:after="40"/>
      </w:pPr>
      <w:r>
        <w:rPr>
          <w:rFonts w:ascii="Arial" w:hAnsi="Arial" w:eastAsia="Arial"/>
          <w:b w:val="0"/>
          <w:i w:val="0"/>
          <w:sz w:val="18"/>
        </w:rPr>
        <w:t>- Objective 4: HIPAA / GDPR compliance matrix and consent workflow verification.</w:t>
      </w:r>
    </w:p>
    <w:p>
      <w:pPr>
        <w:spacing w:after="40"/>
      </w:pPr>
      <w:r>
        <w:rPr>
          <w:rFonts w:ascii="Arial" w:hAnsi="Arial" w:eastAsia="Arial"/>
          <w:b w:val="0"/>
          <w:i w:val="0"/>
          <w:sz w:val="18"/>
        </w:rPr>
        <w:t>- Objective 5: Enhancement recommendations, defect/finding log, and raw data evidence package.</w:t>
      </w:r>
    </w:p>
    <w:p>
      <w:pPr>
        <w:pStyle w:val="Heading1"/>
      </w:pPr>
      <w:r>
        <w:t>3. Core Scope Boundary</w:t>
      </w:r>
    </w:p>
    <w:p>
      <w:r>
        <w:rPr>
          <w:rFonts w:ascii="Arial" w:hAnsi="Arial" w:eastAsia="Arial"/>
          <w:b w:val="0"/>
          <w:i w:val="0"/>
          <w:sz w:val="19"/>
        </w:rPr>
        <w:t>The testing service scope includes:</w:t>
      </w:r>
    </w:p>
    <w:p>
      <w:pPr>
        <w:spacing w:after="40"/>
      </w:pPr>
      <w:r>
        <w:rPr>
          <w:rFonts w:ascii="Arial" w:hAnsi="Arial" w:eastAsia="Arial"/>
          <w:b w:val="0"/>
          <w:i w:val="0"/>
          <w:sz w:val="18"/>
        </w:rPr>
        <w:t>- Test planning and mapping against the SRS, BRD, and testing deliverables specification.</w:t>
      </w:r>
    </w:p>
    <w:p>
      <w:pPr>
        <w:spacing w:after="40"/>
      </w:pPr>
      <w:r>
        <w:rPr>
          <w:rFonts w:ascii="Arial" w:hAnsi="Arial" w:eastAsia="Arial"/>
          <w:b w:val="0"/>
          <w:i w:val="0"/>
          <w:sz w:val="18"/>
        </w:rPr>
        <w:t>- Test execution against the agreed test environment.</w:t>
      </w:r>
    </w:p>
    <w:p>
      <w:pPr>
        <w:spacing w:after="40"/>
      </w:pPr>
      <w:r>
        <w:rPr>
          <w:rFonts w:ascii="Arial" w:hAnsi="Arial" w:eastAsia="Arial"/>
          <w:b w:val="0"/>
          <w:i w:val="0"/>
          <w:sz w:val="18"/>
        </w:rPr>
        <w:t>- Collection of evidence, logs, screenshots, raw outputs, CSV/XLSX data, and PDF report inputs.</w:t>
      </w:r>
    </w:p>
    <w:p>
      <w:pPr>
        <w:spacing w:after="40"/>
      </w:pPr>
      <w:r>
        <w:rPr>
          <w:rFonts w:ascii="Arial" w:hAnsi="Arial" w:eastAsia="Arial"/>
          <w:b w:val="0"/>
          <w:i w:val="0"/>
          <w:sz w:val="18"/>
        </w:rPr>
        <w:t>- Identification, classification, and documentation of defects, gaps, vulnerabilities, and non-compliance observations.</w:t>
      </w:r>
    </w:p>
    <w:p>
      <w:pPr>
        <w:spacing w:after="40"/>
      </w:pPr>
      <w:r>
        <w:rPr>
          <w:rFonts w:ascii="Arial" w:hAnsi="Arial" w:eastAsia="Arial"/>
          <w:b w:val="0"/>
          <w:i w:val="0"/>
          <w:sz w:val="18"/>
        </w:rPr>
        <w:t>- Recommendations for remediation, tuning, or environment changes.</w:t>
      </w:r>
    </w:p>
    <w:p>
      <w:pPr>
        <w:spacing w:after="40"/>
      </w:pPr>
      <w:r>
        <w:rPr>
          <w:rFonts w:ascii="Arial" w:hAnsi="Arial" w:eastAsia="Arial"/>
          <w:b w:val="0"/>
          <w:i w:val="0"/>
          <w:sz w:val="18"/>
        </w:rPr>
        <w:t>- Re-testing only where explicitly included in the agreed engagement plan.</w:t>
      </w:r>
    </w:p>
    <w:p>
      <w:r>
        <w:rPr>
          <w:rFonts w:ascii="Arial" w:hAnsi="Arial" w:eastAsia="Arial"/>
          <w:b w:val="0"/>
          <w:i w:val="0"/>
          <w:sz w:val="19"/>
        </w:rPr>
        <w:t xml:space="preserve">The testing service scope does </w:t>
      </w:r>
      <w:r>
        <w:rPr>
          <w:rFonts w:ascii="Arial" w:hAnsi="Arial" w:eastAsia="Arial"/>
          <w:b/>
          <w:i w:val="0"/>
          <w:sz w:val="19"/>
        </w:rPr>
        <w:t>not</w:t>
      </w:r>
      <w:r>
        <w:rPr>
          <w:rFonts w:ascii="Arial" w:hAnsi="Arial" w:eastAsia="Arial"/>
          <w:b w:val="0"/>
          <w:i w:val="0"/>
          <w:sz w:val="19"/>
        </w:rPr>
        <w:t xml:space="preserve"> include defect or gap remediation.</w:t>
      </w:r>
    </w:p>
    <w:tbl>
      <w:tblPr>
        <w:tblW w:type="auto" w:w="0"/>
        <w:tblLayout w:type="autofit"/>
        <w:tblLook w:firstColumn="1" w:firstRow="1" w:lastColumn="0" w:lastRow="0" w:noHBand="0" w:noVBand="1" w:val="04A0"/>
      </w:tblPr>
      <w:tblGrid>
        <w:gridCol w:w="15420"/>
      </w:tblGrid>
      <w:tr>
        <w:tc>
          <w:tcPr>
            <w:tcW w:type="dxa" w:w="15420"/>
            <w:shd w:fill="FDECEC"/>
            <w:tcMar>
              <w:top w:w="150" w:type="dxa"/>
              <w:start w:w="170" w:type="dxa"/>
              <w:bottom w:w="150" w:type="dxa"/>
              <w:end w:w="170" w:type="dxa"/>
            </w:tcMar>
          </w:tcPr>
          <w:p>
            <w:pPr>
              <w:spacing w:after="80"/>
            </w:pPr>
            <w:r>
              <w:rPr>
                <w:rFonts w:ascii="Arial" w:hAnsi="Arial" w:eastAsia="Arial"/>
                <w:b/>
                <w:i w:val="0"/>
                <w:color w:val="A61B1B"/>
                <w:sz w:val="21"/>
              </w:rPr>
              <w:t>Important note</w:t>
            </w:r>
          </w:p>
          <w:p>
            <w:pPr>
              <w:spacing w:after="0"/>
            </w:pPr>
            <w:r>
              <w:rPr>
                <w:rFonts w:ascii="Arial" w:hAnsi="Arial" w:eastAsia="Arial"/>
                <w:b w:val="0"/>
                <w:i w:val="0"/>
                <w:sz w:val="18"/>
              </w:rPr>
              <w:t>Resolution of any defects, vulnerabilities, compliance gaps, architecture gaps, performance bottlenecks, Kubernetes migration requirements, or implementation issues identified during testing is outside the testing service scope. A dedicated development, DevOps, infrastructure, security engineering, or compliance implementation team must be arranged separately to implement fixes. The testing team can validate remediated items later if re-testing is separately agreed.</w:t>
            </w:r>
          </w:p>
        </w:tc>
      </w:tr>
    </w:tbl>
    <w:p/>
    <w:p>
      <w:pPr>
        <w:pStyle w:val="Heading1"/>
      </w:pPr>
      <w:r>
        <w:t>4. Tooling Principle</w:t>
      </w:r>
    </w:p>
    <w:p>
      <w:r>
        <w:rPr>
          <w:rFonts w:ascii="Arial" w:hAnsi="Arial" w:eastAsia="Arial"/>
          <w:b w:val="0"/>
          <w:i w:val="0"/>
          <w:sz w:val="19"/>
        </w:rPr>
        <w:t xml:space="preserve">Testing will use practical, reproducible tools suitable for the agreed test environment. Tool versions will be recorded in every report. Where the testing deliverables specification requires a specific raw output, such as </w:t>
      </w:r>
      <w:r>
        <w:rPr>
          <w:rFonts w:ascii="Consolas" w:hAnsi="Consolas" w:eastAsia="Consolas"/>
          <w:b w:val="0"/>
          <w:i w:val="0"/>
          <w:sz w:val="19"/>
        </w:rPr>
        <w:t>eslint_output.txt</w:t>
      </w:r>
      <w:r>
        <w:rPr>
          <w:rFonts w:ascii="Arial" w:hAnsi="Arial" w:eastAsia="Arial"/>
          <w:b w:val="0"/>
          <w:i w:val="0"/>
          <w:sz w:val="19"/>
        </w:rPr>
        <w:t xml:space="preserve"> or </w:t>
      </w:r>
      <w:r>
        <w:rPr>
          <w:rFonts w:ascii="Consolas" w:hAnsi="Consolas" w:eastAsia="Consolas"/>
          <w:b w:val="0"/>
          <w:i w:val="0"/>
          <w:sz w:val="19"/>
        </w:rPr>
        <w:t>npm_audit_output.json</w:t>
      </w:r>
      <w:r>
        <w:rPr>
          <w:rFonts w:ascii="Arial" w:hAnsi="Arial" w:eastAsia="Arial"/>
          <w:b w:val="0"/>
          <w:i w:val="0"/>
          <w:sz w:val="19"/>
        </w:rPr>
        <w:t>, the corresponding tool will be included in the execution plan.</w:t>
      </w:r>
    </w:p>
    <w:p>
      <w:r>
        <w:rPr>
          <w:rFonts w:ascii="Arial" w:hAnsi="Arial" w:eastAsia="Arial"/>
          <w:b w:val="0"/>
          <w:i w:val="0"/>
          <w:sz w:val="19"/>
        </w:rPr>
        <w:t>The final command catalog will pin versions where practical and will document:</w:t>
      </w:r>
    </w:p>
    <w:p>
      <w:pPr>
        <w:spacing w:after="40"/>
      </w:pPr>
      <w:r>
        <w:rPr>
          <w:rFonts w:ascii="Arial" w:hAnsi="Arial" w:eastAsia="Arial"/>
          <w:b w:val="0"/>
          <w:i w:val="0"/>
          <w:sz w:val="18"/>
        </w:rPr>
        <w:t>- Tool name and version.</w:t>
      </w:r>
    </w:p>
    <w:p>
      <w:pPr>
        <w:spacing w:after="40"/>
      </w:pPr>
      <w:r>
        <w:rPr>
          <w:rFonts w:ascii="Arial" w:hAnsi="Arial" w:eastAsia="Arial"/>
          <w:b w:val="0"/>
          <w:i w:val="0"/>
          <w:sz w:val="18"/>
        </w:rPr>
        <w:t>- Installation method.</w:t>
      </w:r>
    </w:p>
    <w:p>
      <w:pPr>
        <w:spacing w:after="40"/>
      </w:pPr>
      <w:r>
        <w:rPr>
          <w:rFonts w:ascii="Arial" w:hAnsi="Arial" w:eastAsia="Arial"/>
          <w:b w:val="0"/>
          <w:i w:val="0"/>
          <w:sz w:val="18"/>
        </w:rPr>
        <w:t>- Exact command executed.</w:t>
      </w:r>
    </w:p>
    <w:p>
      <w:pPr>
        <w:spacing w:after="40"/>
      </w:pPr>
      <w:r>
        <w:rPr>
          <w:rFonts w:ascii="Arial" w:hAnsi="Arial" w:eastAsia="Arial"/>
          <w:b w:val="0"/>
          <w:i w:val="0"/>
          <w:sz w:val="18"/>
        </w:rPr>
        <w:t>- Target environment.</w:t>
      </w:r>
    </w:p>
    <w:p>
      <w:pPr>
        <w:spacing w:after="40"/>
      </w:pPr>
      <w:r>
        <w:rPr>
          <w:rFonts w:ascii="Arial" w:hAnsi="Arial" w:eastAsia="Arial"/>
          <w:b w:val="0"/>
          <w:i w:val="0"/>
          <w:sz w:val="18"/>
        </w:rPr>
        <w:t>- Output filename.</w:t>
      </w:r>
    </w:p>
    <w:p>
      <w:pPr>
        <w:spacing w:after="40"/>
      </w:pPr>
      <w:r>
        <w:rPr>
          <w:rFonts w:ascii="Arial" w:hAnsi="Arial" w:eastAsia="Arial"/>
          <w:b w:val="0"/>
          <w:i w:val="0"/>
          <w:sz w:val="18"/>
        </w:rPr>
        <w:t>- Date/time of execution.</w:t>
      </w:r>
    </w:p>
    <w:p>
      <w:pPr>
        <w:spacing w:after="40"/>
      </w:pPr>
      <w:r>
        <w:rPr>
          <w:rFonts w:ascii="Arial" w:hAnsi="Arial" w:eastAsia="Arial"/>
          <w:b w:val="0"/>
          <w:i w:val="0"/>
          <w:sz w:val="18"/>
        </w:rPr>
        <w:t>- Tester name.</w:t>
      </w:r>
    </w:p>
    <w:p>
      <w:pPr>
        <w:spacing w:after="40"/>
      </w:pPr>
      <w:r>
        <w:rPr>
          <w:rFonts w:ascii="Arial" w:hAnsi="Arial" w:eastAsia="Arial"/>
          <w:b w:val="0"/>
          <w:i w:val="0"/>
          <w:sz w:val="18"/>
        </w:rPr>
        <w:t>- System version under test.</w:t>
      </w:r>
    </w:p>
    <w:p>
      <w:r>
        <w:rPr>
          <w:rFonts w:ascii="Arial" w:hAnsi="Arial" w:eastAsia="Arial"/>
          <w:b w:val="0"/>
          <w:i w:val="0"/>
          <w:sz w:val="19"/>
        </w:rPr>
        <w:t>For tools that are unfamiliar to the project team, the later command runbook will provide exact commands, expected outputs, evidence filenames, and interpretation notes. Reports will be written from actual tool outputs and test evidence in a factual consultant style, avoiding generic or unsupported claims. No pass/fail result will be included unless it is backed by a screenshot, log, raw output file, transaction ID, or equivalent evidence item.</w:t>
      </w:r>
    </w:p>
    <w:p>
      <w:pPr>
        <w:pStyle w:val="Heading1"/>
      </w:pPr>
      <w:r>
        <w:t>5. Dependencies Required to Execute Testing Scope</w:t>
      </w:r>
    </w:p>
    <w:p>
      <w:r>
        <w:rPr>
          <w:rFonts w:ascii="Arial" w:hAnsi="Arial" w:eastAsia="Arial"/>
          <w:b w:val="0"/>
          <w:i w:val="0"/>
          <w:sz w:val="19"/>
        </w:rPr>
        <w:t>The following dependencies must be available before the full testing scope can be executed. If any dependency is unavailable, the affected test activity will either be blocked, reduced to a documentation-only review, or reported with a limitation.</w:t>
      </w:r>
    </w:p>
    <w:p>
      <w:r>
        <w:rPr>
          <w:rFonts w:ascii="Arial" w:hAnsi="Arial" w:eastAsia="Arial"/>
          <w:b w:val="0"/>
          <w:i w:val="0"/>
          <w:sz w:val="19"/>
        </w:rPr>
        <w:t>Core dependencies:</w:t>
      </w:r>
    </w:p>
    <w:tbl>
      <w:tblPr>
        <w:tblStyle w:val="TableGrid"/>
        <w:tblW w:type="auto" w:w="0"/>
        <w:tblLayout w:type="autofit"/>
        <w:tblLook w:firstColumn="1" w:firstRow="1" w:lastColumn="0" w:lastRow="0" w:noHBand="0" w:noVBand="1" w:val="04A0"/>
      </w:tblPr>
      <w:tblGrid>
        <w:gridCol w:w="3855"/>
        <w:gridCol w:w="3855"/>
        <w:gridCol w:w="3855"/>
        <w:gridCol w:w="3855"/>
      </w:tblGrid>
      <w:tr>
        <w:trPr>
          <w:tblHeader w:val="true"/>
        </w:trPr>
        <w:tc>
          <w:tcPr>
            <w:tcW w:type="dxa" w:w="2880"/>
            <w:vAlign w:val="center"/>
            <w:tcMar>
              <w:top w:w="90" w:type="dxa"/>
              <w:start w:w="90" w:type="dxa"/>
              <w:bottom w:w="90" w:type="dxa"/>
              <w:end w:w="90" w:type="dxa"/>
            </w:tcMar>
            <w:shd w:fill="1F4E79"/>
          </w:tcPr>
          <w:p>
            <w:pPr>
              <w:spacing w:after="0" w:line="252" w:lineRule="auto"/>
            </w:pPr>
            <w:r>
              <w:rPr>
                <w:rFonts w:ascii="Arial" w:hAnsi="Arial" w:eastAsia="Arial"/>
                <w:b/>
                <w:i w:val="0"/>
                <w:color w:val="FFFFFF"/>
                <w:sz w:val="16"/>
              </w:rPr>
              <w:t>Dependency / input</w:t>
            </w:r>
          </w:p>
        </w:tc>
        <w:tc>
          <w:tcPr>
            <w:tcW w:type="dxa" w:w="4608"/>
            <w:vAlign w:val="center"/>
            <w:tcMar>
              <w:top w:w="90" w:type="dxa"/>
              <w:start w:w="90" w:type="dxa"/>
              <w:bottom w:w="90" w:type="dxa"/>
              <w:end w:w="90" w:type="dxa"/>
            </w:tcMar>
            <w:shd w:fill="1F4E79"/>
          </w:tcPr>
          <w:p>
            <w:pPr>
              <w:spacing w:after="0" w:line="252" w:lineRule="auto"/>
            </w:pPr>
            <w:r>
              <w:rPr>
                <w:rFonts w:ascii="Arial" w:hAnsi="Arial" w:eastAsia="Arial"/>
                <w:b/>
                <w:i w:val="0"/>
                <w:color w:val="FFFFFF"/>
                <w:sz w:val="16"/>
              </w:rPr>
              <w:t>Required detail</w:t>
            </w:r>
          </w:p>
        </w:tc>
        <w:tc>
          <w:tcPr>
            <w:tcW w:type="dxa" w:w="4320"/>
            <w:vAlign w:val="center"/>
            <w:tcMar>
              <w:top w:w="90" w:type="dxa"/>
              <w:start w:w="90" w:type="dxa"/>
              <w:bottom w:w="90" w:type="dxa"/>
              <w:end w:w="90" w:type="dxa"/>
            </w:tcMar>
            <w:shd w:fill="1F4E79"/>
          </w:tcPr>
          <w:p>
            <w:pPr>
              <w:spacing w:after="0" w:line="252" w:lineRule="auto"/>
            </w:pPr>
            <w:r>
              <w:rPr>
                <w:rFonts w:ascii="Arial" w:hAnsi="Arial" w:eastAsia="Arial"/>
                <w:b/>
                <w:i w:val="0"/>
                <w:color w:val="FFFFFF"/>
                <w:sz w:val="16"/>
              </w:rPr>
              <w:t>Required for</w:t>
            </w:r>
          </w:p>
        </w:tc>
        <w:tc>
          <w:tcPr>
            <w:tcW w:type="dxa" w:w="4752"/>
            <w:vAlign w:val="center"/>
            <w:tcMar>
              <w:top w:w="90" w:type="dxa"/>
              <w:start w:w="90" w:type="dxa"/>
              <w:bottom w:w="90" w:type="dxa"/>
              <w:end w:w="90" w:type="dxa"/>
            </w:tcMar>
            <w:shd w:fill="1F4E79"/>
          </w:tcPr>
          <w:p>
            <w:pPr>
              <w:spacing w:after="0" w:line="252" w:lineRule="auto"/>
            </w:pPr>
            <w:r>
              <w:rPr>
                <w:rFonts w:ascii="Arial" w:hAnsi="Arial" w:eastAsia="Arial"/>
                <w:b/>
                <w:i w:val="0"/>
                <w:color w:val="FFFFFF"/>
                <w:sz w:val="16"/>
              </w:rPr>
              <w:t>Impact if unavailable</w:t>
            </w:r>
          </w:p>
        </w:tc>
      </w:tr>
      <w:tr>
        <w:tc>
          <w:tcPr>
            <w:tcW w:type="dxa" w:w="2880"/>
            <w:vAlign w:val="center"/>
            <w:tcMar>
              <w:top w:w="90" w:type="dxa"/>
              <w:start w:w="90" w:type="dxa"/>
              <w:bottom w:w="90" w:type="dxa"/>
              <w:end w:w="90" w:type="dxa"/>
            </w:tcMar>
          </w:tcPr>
          <w:p>
            <w:pPr>
              <w:spacing w:after="0" w:line="252" w:lineRule="auto"/>
            </w:pPr>
            <w:r>
              <w:rPr>
                <w:rFonts w:ascii="Arial" w:hAnsi="Arial" w:eastAsia="Arial"/>
                <w:b w:val="0"/>
                <w:i w:val="0"/>
                <w:sz w:val="16"/>
              </w:rPr>
              <w:t>Source code availability</w:t>
            </w:r>
          </w:p>
        </w:tc>
        <w:tc>
          <w:tcPr>
            <w:tcW w:type="dxa" w:w="4608"/>
            <w:vAlign w:val="center"/>
            <w:tcMar>
              <w:top w:w="90" w:type="dxa"/>
              <w:start w:w="90" w:type="dxa"/>
              <w:bottom w:w="90" w:type="dxa"/>
              <w:end w:w="90" w:type="dxa"/>
            </w:tcMar>
          </w:tcPr>
          <w:p>
            <w:pPr>
              <w:spacing w:after="0" w:line="252" w:lineRule="auto"/>
            </w:pPr>
            <w:r>
              <w:rPr>
                <w:rFonts w:ascii="Arial" w:hAnsi="Arial" w:eastAsia="Arial"/>
                <w:b w:val="0"/>
                <w:i w:val="0"/>
                <w:sz w:val="16"/>
              </w:rPr>
              <w:t>Chaincode, API, web, and mobile repositories; correct branch/tag; package files; Dockerfiles and compose files</w:t>
            </w:r>
          </w:p>
        </w:tc>
        <w:tc>
          <w:tcPr>
            <w:tcW w:type="dxa" w:w="4320"/>
            <w:vAlign w:val="center"/>
            <w:tcMar>
              <w:top w:w="90" w:type="dxa"/>
              <w:start w:w="90" w:type="dxa"/>
              <w:bottom w:w="90" w:type="dxa"/>
              <w:end w:w="90" w:type="dxa"/>
            </w:tcMar>
          </w:tcPr>
          <w:p>
            <w:pPr>
              <w:spacing w:after="0" w:line="252" w:lineRule="auto"/>
            </w:pPr>
            <w:r>
              <w:rPr>
                <w:rFonts w:ascii="Arial" w:hAnsi="Arial" w:eastAsia="Arial"/>
                <w:b w:val="0"/>
                <w:i w:val="0"/>
                <w:sz w:val="16"/>
              </w:rPr>
              <w:t>Smart contract review, dependency review, test automation, environment validation</w:t>
            </w:r>
          </w:p>
        </w:tc>
        <w:tc>
          <w:tcPr>
            <w:tcW w:type="dxa" w:w="4752"/>
            <w:vAlign w:val="center"/>
            <w:tcMar>
              <w:top w:w="90" w:type="dxa"/>
              <w:start w:w="90" w:type="dxa"/>
              <w:bottom w:w="90" w:type="dxa"/>
              <w:end w:w="90" w:type="dxa"/>
            </w:tcMar>
          </w:tcPr>
          <w:p>
            <w:pPr>
              <w:spacing w:after="0" w:line="252" w:lineRule="auto"/>
            </w:pPr>
            <w:r>
              <w:rPr>
                <w:rFonts w:ascii="Arial" w:hAnsi="Arial" w:eastAsia="Arial"/>
                <w:b w:val="0"/>
                <w:i w:val="0"/>
                <w:sz w:val="16"/>
              </w:rPr>
              <w:t>Code review and dependency checks cannot be completed; testing becomes limited to black-box validation</w:t>
            </w:r>
          </w:p>
        </w:tc>
      </w:tr>
      <w:tr>
        <w:tc>
          <w:tcPr>
            <w:tcW w:type="dxa" w:w="2880"/>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Existing running environment</w:t>
            </w:r>
          </w:p>
        </w:tc>
        <w:tc>
          <w:tcPr>
            <w:tcW w:type="dxa" w:w="4608"/>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Non-production environment where the current EDR solution is deployed and reachable; API/web URLs; Fabric network running; database and chaincode available</w:t>
            </w:r>
          </w:p>
        </w:tc>
        <w:tc>
          <w:tcPr>
            <w:tcW w:type="dxa" w:w="4320"/>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Functional testing, security testing, consent workflow verification, evidence capture</w:t>
            </w:r>
          </w:p>
        </w:tc>
        <w:tc>
          <w:tcPr>
            <w:tcW w:type="dxa" w:w="4752"/>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Execution testing is blocked; only planning and document review can proceed</w:t>
            </w:r>
          </w:p>
        </w:tc>
      </w:tr>
      <w:tr>
        <w:tc>
          <w:tcPr>
            <w:tcW w:type="dxa" w:w="2880"/>
            <w:vAlign w:val="center"/>
            <w:tcMar>
              <w:top w:w="90" w:type="dxa"/>
              <w:start w:w="90" w:type="dxa"/>
              <w:bottom w:w="90" w:type="dxa"/>
              <w:end w:w="90" w:type="dxa"/>
            </w:tcMar>
          </w:tcPr>
          <w:p>
            <w:pPr>
              <w:spacing w:after="0" w:line="252" w:lineRule="auto"/>
            </w:pPr>
            <w:r>
              <w:rPr>
                <w:rFonts w:ascii="Arial" w:hAnsi="Arial" w:eastAsia="Arial"/>
                <w:b w:val="0"/>
                <w:i w:val="0"/>
                <w:sz w:val="16"/>
              </w:rPr>
              <w:t>Existing solution documentation</w:t>
            </w:r>
          </w:p>
        </w:tc>
        <w:tc>
          <w:tcPr>
            <w:tcW w:type="dxa" w:w="4608"/>
            <w:vAlign w:val="center"/>
            <w:tcMar>
              <w:top w:w="90" w:type="dxa"/>
              <w:start w:w="90" w:type="dxa"/>
              <w:bottom w:w="90" w:type="dxa"/>
              <w:end w:w="90" w:type="dxa"/>
            </w:tcMar>
          </w:tcPr>
          <w:p>
            <w:pPr>
              <w:spacing w:after="0" w:line="252" w:lineRule="auto"/>
            </w:pPr>
            <w:r>
              <w:rPr>
                <w:rFonts w:ascii="Arial" w:hAnsi="Arial" w:eastAsia="Arial"/>
                <w:b w:val="0"/>
                <w:i w:val="0"/>
                <w:sz w:val="16"/>
              </w:rPr>
              <w:t>Architecture diagram, deployment guide, API list or OpenAPI/Postman collection, database/data model, chaincode function list, user role model</w:t>
            </w:r>
          </w:p>
        </w:tc>
        <w:tc>
          <w:tcPr>
            <w:tcW w:type="dxa" w:w="4320"/>
            <w:vAlign w:val="center"/>
            <w:tcMar>
              <w:top w:w="90" w:type="dxa"/>
              <w:start w:w="90" w:type="dxa"/>
              <w:bottom w:w="90" w:type="dxa"/>
              <w:end w:w="90" w:type="dxa"/>
            </w:tcMar>
          </w:tcPr>
          <w:p>
            <w:pPr>
              <w:spacing w:after="0" w:line="252" w:lineRule="auto"/>
            </w:pPr>
            <w:r>
              <w:rPr>
                <w:rFonts w:ascii="Arial" w:hAnsi="Arial" w:eastAsia="Arial"/>
                <w:b w:val="0"/>
                <w:i w:val="0"/>
                <w:sz w:val="16"/>
              </w:rPr>
              <w:t>Test case mapping, command runbook preparation, reproducible evidence</w:t>
            </w:r>
          </w:p>
        </w:tc>
        <w:tc>
          <w:tcPr>
            <w:tcW w:type="dxa" w:w="4752"/>
            <w:vAlign w:val="center"/>
            <w:tcMar>
              <w:top w:w="90" w:type="dxa"/>
              <w:start w:w="90" w:type="dxa"/>
              <w:bottom w:w="90" w:type="dxa"/>
              <w:end w:w="90" w:type="dxa"/>
            </w:tcMar>
          </w:tcPr>
          <w:p>
            <w:pPr>
              <w:spacing w:after="0" w:line="252" w:lineRule="auto"/>
            </w:pPr>
            <w:r>
              <w:rPr>
                <w:rFonts w:ascii="Arial" w:hAnsi="Arial" w:eastAsia="Arial"/>
                <w:b w:val="0"/>
                <w:i w:val="0"/>
                <w:sz w:val="16"/>
              </w:rPr>
              <w:t>Additional discovery effort is required and coverage may be reduced or delayed</w:t>
            </w:r>
          </w:p>
        </w:tc>
      </w:tr>
      <w:tr>
        <w:tc>
          <w:tcPr>
            <w:tcW w:type="dxa" w:w="2880"/>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Test identities and credentials</w:t>
            </w:r>
          </w:p>
        </w:tc>
        <w:tc>
          <w:tcPr>
            <w:tcW w:type="dxa" w:w="4608"/>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Admin, Doctor, and Patient test users; JWT login details; role-specific MSP certificates; organization identities; VPN/SSH access if required</w:t>
            </w:r>
          </w:p>
        </w:tc>
        <w:tc>
          <w:tcPr>
            <w:tcW w:type="dxa" w:w="4320"/>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RBAC testing, cross-organization tests, consent workflow tests, ledger queries</w:t>
            </w:r>
          </w:p>
        </w:tc>
        <w:tc>
          <w:tcPr>
            <w:tcW w:type="dxa" w:w="4752"/>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Role-based and MSP-based scenarios cannot be executed reliably</w:t>
            </w:r>
          </w:p>
        </w:tc>
      </w:tr>
      <w:tr>
        <w:tc>
          <w:tcPr>
            <w:tcW w:type="dxa" w:w="2880"/>
            <w:vAlign w:val="center"/>
            <w:tcMar>
              <w:top w:w="90" w:type="dxa"/>
              <w:start w:w="90" w:type="dxa"/>
              <w:bottom w:w="90" w:type="dxa"/>
              <w:end w:w="90" w:type="dxa"/>
            </w:tcMar>
          </w:tcPr>
          <w:p>
            <w:pPr>
              <w:spacing w:after="0" w:line="252" w:lineRule="auto"/>
            </w:pPr>
            <w:r>
              <w:rPr>
                <w:rFonts w:ascii="Arial" w:hAnsi="Arial" w:eastAsia="Arial"/>
                <w:b w:val="0"/>
                <w:i w:val="0"/>
                <w:sz w:val="16"/>
              </w:rPr>
              <w:t>Synthetic test data</w:t>
            </w:r>
          </w:p>
        </w:tc>
        <w:tc>
          <w:tcPr>
            <w:tcW w:type="dxa" w:w="4608"/>
            <w:vAlign w:val="center"/>
            <w:tcMar>
              <w:top w:w="90" w:type="dxa"/>
              <w:start w:w="90" w:type="dxa"/>
              <w:bottom w:w="90" w:type="dxa"/>
              <w:end w:w="90" w:type="dxa"/>
            </w:tcMar>
          </w:tcPr>
          <w:p>
            <w:pPr>
              <w:spacing w:after="0" w:line="252" w:lineRule="auto"/>
            </w:pPr>
            <w:r>
              <w:rPr>
                <w:rFonts w:ascii="Arial" w:hAnsi="Arial" w:eastAsia="Arial"/>
                <w:b w:val="0"/>
                <w:i w:val="0"/>
                <w:sz w:val="16"/>
              </w:rPr>
              <w:t>Patients, doctors, appointments, clinical records, dental chart entries, consent requests, and safe sample files/DICOM references</w:t>
            </w:r>
          </w:p>
        </w:tc>
        <w:tc>
          <w:tcPr>
            <w:tcW w:type="dxa" w:w="4320"/>
            <w:vAlign w:val="center"/>
            <w:tcMar>
              <w:top w:w="90" w:type="dxa"/>
              <w:start w:w="90" w:type="dxa"/>
              <w:bottom w:w="90" w:type="dxa"/>
              <w:end w:w="90" w:type="dxa"/>
            </w:tcMar>
          </w:tcPr>
          <w:p>
            <w:pPr>
              <w:spacing w:after="0" w:line="252" w:lineRule="auto"/>
            </w:pPr>
            <w:r>
              <w:rPr>
                <w:rFonts w:ascii="Arial" w:hAnsi="Arial" w:eastAsia="Arial"/>
                <w:b w:val="0"/>
                <w:i w:val="0"/>
                <w:sz w:val="16"/>
              </w:rPr>
              <w:t>Functional, consent, performance, and compliance evidence</w:t>
            </w:r>
          </w:p>
        </w:tc>
        <w:tc>
          <w:tcPr>
            <w:tcW w:type="dxa" w:w="4752"/>
            <w:vAlign w:val="center"/>
            <w:tcMar>
              <w:top w:w="90" w:type="dxa"/>
              <w:start w:w="90" w:type="dxa"/>
              <w:bottom w:w="90" w:type="dxa"/>
              <w:end w:w="90" w:type="dxa"/>
            </w:tcMar>
          </w:tcPr>
          <w:p>
            <w:pPr>
              <w:spacing w:after="0" w:line="252" w:lineRule="auto"/>
            </w:pPr>
            <w:r>
              <w:rPr>
                <w:rFonts w:ascii="Arial" w:hAnsi="Arial" w:eastAsia="Arial"/>
                <w:b w:val="0"/>
                <w:i w:val="0"/>
                <w:sz w:val="16"/>
              </w:rPr>
              <w:t>Test data must be created before execution or affected tests will be delayed</w:t>
            </w:r>
          </w:p>
        </w:tc>
      </w:tr>
    </w:tbl>
    <w:p/>
    <w:p>
      <w:pPr>
        <w:pageBreakBefore/>
      </w:pPr>
      <w:r>
        <w:rPr>
          <w:rFonts w:ascii="Arial" w:hAnsi="Arial" w:eastAsia="Arial"/>
          <w:b w:val="0"/>
          <w:i w:val="0"/>
          <w:sz w:val="19"/>
        </w:rPr>
        <w:t>Infrastructure and execution dependencies:</w:t>
      </w:r>
    </w:p>
    <w:tbl>
      <w:tblPr>
        <w:tblStyle w:val="TableGrid"/>
        <w:tblW w:type="auto" w:w="0"/>
        <w:tblLayout w:type="autofit"/>
        <w:tblLook w:firstColumn="1" w:firstRow="1" w:lastColumn="0" w:lastRow="0" w:noHBand="0" w:noVBand="1" w:val="04A0"/>
      </w:tblPr>
      <w:tblGrid>
        <w:gridCol w:w="3855"/>
        <w:gridCol w:w="3855"/>
        <w:gridCol w:w="3855"/>
        <w:gridCol w:w="3855"/>
      </w:tblGrid>
      <w:tr>
        <w:trPr>
          <w:tblHeader w:val="true"/>
        </w:trPr>
        <w:tc>
          <w:tcPr>
            <w:tcW w:type="dxa" w:w="2880"/>
            <w:vAlign w:val="center"/>
            <w:tcMar>
              <w:top w:w="90" w:type="dxa"/>
              <w:start w:w="90" w:type="dxa"/>
              <w:bottom w:w="90" w:type="dxa"/>
              <w:end w:w="90" w:type="dxa"/>
            </w:tcMar>
            <w:shd w:fill="1F4E79"/>
          </w:tcPr>
          <w:p>
            <w:pPr>
              <w:spacing w:after="0" w:line="252" w:lineRule="auto"/>
            </w:pPr>
            <w:r>
              <w:rPr>
                <w:rFonts w:ascii="Arial" w:hAnsi="Arial" w:eastAsia="Arial"/>
                <w:b/>
                <w:i w:val="0"/>
                <w:color w:val="FFFFFF"/>
                <w:sz w:val="16"/>
              </w:rPr>
              <w:t>Dependency / input</w:t>
            </w:r>
          </w:p>
        </w:tc>
        <w:tc>
          <w:tcPr>
            <w:tcW w:type="dxa" w:w="4608"/>
            <w:vAlign w:val="center"/>
            <w:tcMar>
              <w:top w:w="90" w:type="dxa"/>
              <w:start w:w="90" w:type="dxa"/>
              <w:bottom w:w="90" w:type="dxa"/>
              <w:end w:w="90" w:type="dxa"/>
            </w:tcMar>
            <w:shd w:fill="1F4E79"/>
          </w:tcPr>
          <w:p>
            <w:pPr>
              <w:spacing w:after="0" w:line="252" w:lineRule="auto"/>
            </w:pPr>
            <w:r>
              <w:rPr>
                <w:rFonts w:ascii="Arial" w:hAnsi="Arial" w:eastAsia="Arial"/>
                <w:b/>
                <w:i w:val="0"/>
                <w:color w:val="FFFFFF"/>
                <w:sz w:val="16"/>
              </w:rPr>
              <w:t>Required detail</w:t>
            </w:r>
          </w:p>
        </w:tc>
        <w:tc>
          <w:tcPr>
            <w:tcW w:type="dxa" w:w="4320"/>
            <w:vAlign w:val="center"/>
            <w:tcMar>
              <w:top w:w="90" w:type="dxa"/>
              <w:start w:w="90" w:type="dxa"/>
              <w:bottom w:w="90" w:type="dxa"/>
              <w:end w:w="90" w:type="dxa"/>
            </w:tcMar>
            <w:shd w:fill="1F4E79"/>
          </w:tcPr>
          <w:p>
            <w:pPr>
              <w:spacing w:after="0" w:line="252" w:lineRule="auto"/>
            </w:pPr>
            <w:r>
              <w:rPr>
                <w:rFonts w:ascii="Arial" w:hAnsi="Arial" w:eastAsia="Arial"/>
                <w:b/>
                <w:i w:val="0"/>
                <w:color w:val="FFFFFF"/>
                <w:sz w:val="16"/>
              </w:rPr>
              <w:t>Required for</w:t>
            </w:r>
          </w:p>
        </w:tc>
        <w:tc>
          <w:tcPr>
            <w:tcW w:type="dxa" w:w="4752"/>
            <w:vAlign w:val="center"/>
            <w:tcMar>
              <w:top w:w="90" w:type="dxa"/>
              <w:start w:w="90" w:type="dxa"/>
              <w:bottom w:w="90" w:type="dxa"/>
              <w:end w:w="90" w:type="dxa"/>
            </w:tcMar>
            <w:shd w:fill="1F4E79"/>
          </w:tcPr>
          <w:p>
            <w:pPr>
              <w:spacing w:after="0" w:line="252" w:lineRule="auto"/>
            </w:pPr>
            <w:r>
              <w:rPr>
                <w:rFonts w:ascii="Arial" w:hAnsi="Arial" w:eastAsia="Arial"/>
                <w:b/>
                <w:i w:val="0"/>
                <w:color w:val="FFFFFF"/>
                <w:sz w:val="16"/>
              </w:rPr>
              <w:t>Impact if unavailable</w:t>
            </w:r>
          </w:p>
        </w:tc>
      </w:tr>
      <w:tr>
        <w:tc>
          <w:tcPr>
            <w:tcW w:type="dxa" w:w="2880"/>
            <w:vAlign w:val="center"/>
            <w:tcMar>
              <w:top w:w="90" w:type="dxa"/>
              <w:start w:w="90" w:type="dxa"/>
              <w:bottom w:w="90" w:type="dxa"/>
              <w:end w:w="90" w:type="dxa"/>
            </w:tcMar>
          </w:tcPr>
          <w:p>
            <w:pPr>
              <w:spacing w:after="0" w:line="252" w:lineRule="auto"/>
            </w:pPr>
            <w:r>
              <w:rPr>
                <w:rFonts w:ascii="Arial" w:hAnsi="Arial" w:eastAsia="Arial"/>
                <w:b w:val="0"/>
                <w:i w:val="0"/>
                <w:sz w:val="16"/>
              </w:rPr>
              <w:t>Infrastructure for load testing</w:t>
            </w:r>
          </w:p>
        </w:tc>
        <w:tc>
          <w:tcPr>
            <w:tcW w:type="dxa" w:w="4608"/>
            <w:vAlign w:val="center"/>
            <w:tcMar>
              <w:top w:w="90" w:type="dxa"/>
              <w:start w:w="90" w:type="dxa"/>
              <w:bottom w:w="90" w:type="dxa"/>
              <w:end w:w="90" w:type="dxa"/>
            </w:tcMar>
          </w:tcPr>
          <w:p>
            <w:pPr>
              <w:spacing w:after="0" w:line="252" w:lineRule="auto"/>
            </w:pPr>
            <w:r>
              <w:rPr>
                <w:rFonts w:ascii="Arial" w:hAnsi="Arial" w:eastAsia="Arial"/>
                <w:b w:val="0"/>
                <w:i w:val="0"/>
                <w:sz w:val="16"/>
              </w:rPr>
              <w:t>Dedicated non-production infrastructure with agreed CPU, memory, storage, network capacity, and permission to generate benchmark load</w:t>
            </w:r>
          </w:p>
        </w:tc>
        <w:tc>
          <w:tcPr>
            <w:tcW w:type="dxa" w:w="4320"/>
            <w:vAlign w:val="center"/>
            <w:tcMar>
              <w:top w:w="90" w:type="dxa"/>
              <w:start w:w="90" w:type="dxa"/>
              <w:bottom w:w="90" w:type="dxa"/>
              <w:end w:w="90" w:type="dxa"/>
            </w:tcMar>
          </w:tcPr>
          <w:p>
            <w:pPr>
              <w:spacing w:after="0" w:line="252" w:lineRule="auto"/>
            </w:pPr>
            <w:r>
              <w:rPr>
                <w:rFonts w:ascii="Arial" w:hAnsi="Arial" w:eastAsia="Arial"/>
                <w:b w:val="0"/>
                <w:i w:val="0"/>
                <w:sz w:val="16"/>
              </w:rPr>
              <w:t>Performance benchmarks, consent workflow benchmarks, scalability assessment</w:t>
            </w:r>
          </w:p>
        </w:tc>
        <w:tc>
          <w:tcPr>
            <w:tcW w:type="dxa" w:w="4752"/>
            <w:vAlign w:val="center"/>
            <w:tcMar>
              <w:top w:w="90" w:type="dxa"/>
              <w:start w:w="90" w:type="dxa"/>
              <w:bottom w:w="90" w:type="dxa"/>
              <w:end w:w="90" w:type="dxa"/>
            </w:tcMar>
          </w:tcPr>
          <w:p>
            <w:pPr>
              <w:spacing w:after="0" w:line="252" w:lineRule="auto"/>
            </w:pPr>
            <w:r>
              <w:rPr>
                <w:rFonts w:ascii="Arial" w:hAnsi="Arial" w:eastAsia="Arial"/>
                <w:b w:val="0"/>
                <w:i w:val="0"/>
                <w:sz w:val="16"/>
              </w:rPr>
              <w:t>Benchmark results may be invalid, noisy, or blocked entirely</w:t>
            </w:r>
          </w:p>
        </w:tc>
      </w:tr>
      <w:tr>
        <w:tc>
          <w:tcPr>
            <w:tcW w:type="dxa" w:w="2880"/>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Metrics and resource access</w:t>
            </w:r>
          </w:p>
        </w:tc>
        <w:tc>
          <w:tcPr>
            <w:tcW w:type="dxa" w:w="4608"/>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 xml:space="preserve">Docker stats access for Docker Compose runs; Kubernetes Metrics Server, </w:t>
            </w:r>
            <w:r>
              <w:rPr>
                <w:rFonts w:ascii="Arial" w:hAnsi="Arial" w:eastAsia="Arial"/>
                <w:b w:val="0"/>
                <w:i w:val="0"/>
                <w:sz w:val="16"/>
              </w:rPr>
              <w:t>kubectl top</w:t>
            </w:r>
            <w:r>
              <w:rPr>
                <w:rFonts w:ascii="Arial" w:hAnsi="Arial" w:eastAsia="Arial"/>
                <w:b w:val="0"/>
                <w:i w:val="0"/>
                <w:sz w:val="16"/>
              </w:rPr>
              <w:t>, HPA status, and event access where Kubernetes is used</w:t>
            </w:r>
          </w:p>
        </w:tc>
        <w:tc>
          <w:tcPr>
            <w:tcW w:type="dxa" w:w="4320"/>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CPU/memory threshold validation, load-test evidence, scalability reporting</w:t>
            </w:r>
          </w:p>
        </w:tc>
        <w:tc>
          <w:tcPr>
            <w:tcW w:type="dxa" w:w="4752"/>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Resource usage cannot be evidenced against the required thresholds</w:t>
            </w:r>
          </w:p>
        </w:tc>
      </w:tr>
      <w:tr>
        <w:tc>
          <w:tcPr>
            <w:tcW w:type="dxa" w:w="2880"/>
            <w:vAlign w:val="center"/>
            <w:tcMar>
              <w:top w:w="90" w:type="dxa"/>
              <w:start w:w="90" w:type="dxa"/>
              <w:bottom w:w="90" w:type="dxa"/>
              <w:end w:w="90" w:type="dxa"/>
            </w:tcMar>
          </w:tcPr>
          <w:p>
            <w:pPr>
              <w:spacing w:after="0" w:line="252" w:lineRule="auto"/>
            </w:pPr>
            <w:r>
              <w:rPr>
                <w:rFonts w:ascii="Arial" w:hAnsi="Arial" w:eastAsia="Arial"/>
                <w:b w:val="0"/>
                <w:i w:val="0"/>
                <w:sz w:val="16"/>
              </w:rPr>
              <w:t>Scaling environment</w:t>
            </w:r>
          </w:p>
        </w:tc>
        <w:tc>
          <w:tcPr>
            <w:tcW w:type="dxa" w:w="4608"/>
            <w:vAlign w:val="center"/>
            <w:tcMar>
              <w:top w:w="90" w:type="dxa"/>
              <w:start w:w="90" w:type="dxa"/>
              <w:bottom w:w="90" w:type="dxa"/>
              <w:end w:w="90" w:type="dxa"/>
            </w:tcMar>
          </w:tcPr>
          <w:p>
            <w:pPr>
              <w:spacing w:after="0" w:line="252" w:lineRule="auto"/>
            </w:pPr>
            <w:r>
              <w:rPr>
                <w:rFonts w:ascii="Arial" w:hAnsi="Arial" w:eastAsia="Arial"/>
                <w:b w:val="0"/>
                <w:i w:val="0"/>
                <w:sz w:val="16"/>
              </w:rPr>
              <w:t>Kubernetes or equivalent orchestration environment if autoscaling or horizontal scaling claims must be validated</w:t>
            </w:r>
          </w:p>
        </w:tc>
        <w:tc>
          <w:tcPr>
            <w:tcW w:type="dxa" w:w="4320"/>
            <w:vAlign w:val="center"/>
            <w:tcMar>
              <w:top w:w="90" w:type="dxa"/>
              <w:start w:w="90" w:type="dxa"/>
              <w:bottom w:w="90" w:type="dxa"/>
              <w:end w:w="90" w:type="dxa"/>
            </w:tcMar>
          </w:tcPr>
          <w:p>
            <w:pPr>
              <w:spacing w:after="0" w:line="252" w:lineRule="auto"/>
            </w:pPr>
            <w:r>
              <w:rPr>
                <w:rFonts w:ascii="Arial" w:hAnsi="Arial" w:eastAsia="Arial"/>
                <w:b w:val="0"/>
                <w:i w:val="0"/>
                <w:sz w:val="16"/>
              </w:rPr>
              <w:t>Multi-clinic scalability testing and HPA/autoscaling validation</w:t>
            </w:r>
          </w:p>
        </w:tc>
        <w:tc>
          <w:tcPr>
            <w:tcW w:type="dxa" w:w="4752"/>
            <w:vAlign w:val="center"/>
            <w:tcMar>
              <w:top w:w="90" w:type="dxa"/>
              <w:start w:w="90" w:type="dxa"/>
              <w:bottom w:w="90" w:type="dxa"/>
              <w:end w:w="90" w:type="dxa"/>
            </w:tcMar>
          </w:tcPr>
          <w:p>
            <w:pPr>
              <w:spacing w:after="0" w:line="252" w:lineRule="auto"/>
            </w:pPr>
            <w:r>
              <w:rPr>
                <w:rFonts w:ascii="Arial" w:hAnsi="Arial" w:eastAsia="Arial"/>
                <w:b w:val="0"/>
                <w:i w:val="0"/>
                <w:sz w:val="16"/>
              </w:rPr>
              <w:t>Testing is limited to Docker Compose baseline behavior; autoscaling claims cannot be validated</w:t>
            </w:r>
          </w:p>
        </w:tc>
      </w:tr>
      <w:tr>
        <w:tc>
          <w:tcPr>
            <w:tcW w:type="dxa" w:w="2880"/>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Security testing authorization</w:t>
            </w:r>
          </w:p>
        </w:tc>
        <w:tc>
          <w:tcPr>
            <w:tcW w:type="dxa" w:w="4608"/>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Written approval for ZAP scans, negative API tests, role misuse tests, test data modification, and controlled deletion/tampering scenarios</w:t>
            </w:r>
          </w:p>
        </w:tc>
        <w:tc>
          <w:tcPr>
            <w:tcW w:type="dxa" w:w="4320"/>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Security test report and STRIDE-mapped attack validation</w:t>
            </w:r>
          </w:p>
        </w:tc>
        <w:tc>
          <w:tcPr>
            <w:tcW w:type="dxa" w:w="4752"/>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Active security scenarios cannot be executed; only passive review can proceed</w:t>
            </w:r>
          </w:p>
        </w:tc>
      </w:tr>
      <w:tr>
        <w:tc>
          <w:tcPr>
            <w:tcW w:type="dxa" w:w="2880"/>
            <w:vAlign w:val="center"/>
            <w:tcMar>
              <w:top w:w="90" w:type="dxa"/>
              <w:start w:w="90" w:type="dxa"/>
              <w:bottom w:w="90" w:type="dxa"/>
              <w:end w:w="90" w:type="dxa"/>
            </w:tcMar>
          </w:tcPr>
          <w:p>
            <w:pPr>
              <w:spacing w:after="0" w:line="252" w:lineRule="auto"/>
            </w:pPr>
            <w:r>
              <w:rPr>
                <w:rFonts w:ascii="Arial" w:hAnsi="Arial" w:eastAsia="Arial"/>
                <w:b w:val="0"/>
                <w:i w:val="0"/>
                <w:sz w:val="16"/>
              </w:rPr>
              <w:t>Version and known-issue baseline</w:t>
            </w:r>
          </w:p>
        </w:tc>
        <w:tc>
          <w:tcPr>
            <w:tcW w:type="dxa" w:w="4608"/>
            <w:vAlign w:val="center"/>
            <w:tcMar>
              <w:top w:w="90" w:type="dxa"/>
              <w:start w:w="90" w:type="dxa"/>
              <w:bottom w:w="90" w:type="dxa"/>
              <w:end w:w="90" w:type="dxa"/>
            </w:tcMar>
          </w:tcPr>
          <w:p>
            <w:pPr>
              <w:spacing w:after="0" w:line="252" w:lineRule="auto"/>
            </w:pPr>
            <w:r>
              <w:rPr>
                <w:rFonts w:ascii="Arial" w:hAnsi="Arial" w:eastAsia="Arial"/>
                <w:b w:val="0"/>
                <w:i w:val="0"/>
                <w:sz w:val="16"/>
              </w:rPr>
              <w:t>System version under test, release notes, known defects, known environment limitations, and prior benchmark results</w:t>
            </w:r>
          </w:p>
        </w:tc>
        <w:tc>
          <w:tcPr>
            <w:tcW w:type="dxa" w:w="4320"/>
            <w:vAlign w:val="center"/>
            <w:tcMar>
              <w:top w:w="90" w:type="dxa"/>
              <w:start w:w="90" w:type="dxa"/>
              <w:bottom w:w="90" w:type="dxa"/>
              <w:end w:w="90" w:type="dxa"/>
            </w:tcMar>
          </w:tcPr>
          <w:p>
            <w:pPr>
              <w:spacing w:after="0" w:line="252" w:lineRule="auto"/>
            </w:pPr>
            <w:r>
              <w:rPr>
                <w:rFonts w:ascii="Arial" w:hAnsi="Arial" w:eastAsia="Arial"/>
                <w:b w:val="0"/>
                <w:i w:val="0"/>
                <w:sz w:val="16"/>
              </w:rPr>
              <w:t>Traceability, defect classification, enhancement recommendations</w:t>
            </w:r>
          </w:p>
        </w:tc>
        <w:tc>
          <w:tcPr>
            <w:tcW w:type="dxa" w:w="4752"/>
            <w:vAlign w:val="center"/>
            <w:tcMar>
              <w:top w:w="90" w:type="dxa"/>
              <w:start w:w="90" w:type="dxa"/>
              <w:bottom w:w="90" w:type="dxa"/>
              <w:end w:w="90" w:type="dxa"/>
            </w:tcMar>
          </w:tcPr>
          <w:p>
            <w:pPr>
              <w:spacing w:after="0" w:line="252" w:lineRule="auto"/>
            </w:pPr>
            <w:r>
              <w:rPr>
                <w:rFonts w:ascii="Arial" w:hAnsi="Arial" w:eastAsia="Arial"/>
                <w:b w:val="0"/>
                <w:i w:val="0"/>
                <w:sz w:val="16"/>
              </w:rPr>
              <w:t>Findings may be harder to classify as new defects, known issues, or environment limitations</w:t>
            </w:r>
          </w:p>
        </w:tc>
      </w:tr>
    </w:tbl>
    <w:p/>
    <w:p>
      <w:pPr>
        <w:pStyle w:val="Heading1"/>
        <w:pageBreakBefore/>
      </w:pPr>
      <w:r>
        <w:t>6. Deliverable-to-Tool Mapping</w:t>
      </w:r>
    </w:p>
    <w:tbl>
      <w:tblPr>
        <w:tblStyle w:val="TableGrid"/>
        <w:tblW w:type="auto" w:w="0"/>
        <w:tblLayout w:type="autofit"/>
        <w:tblLook w:firstColumn="1" w:firstRow="1" w:lastColumn="0" w:lastRow="0" w:noHBand="0" w:noVBand="1" w:val="04A0"/>
      </w:tblPr>
      <w:tblGrid>
        <w:gridCol w:w="3855"/>
        <w:gridCol w:w="3855"/>
        <w:gridCol w:w="3855"/>
        <w:gridCol w:w="3855"/>
      </w:tblGrid>
      <w:tr>
        <w:trPr>
          <w:tblHeader w:val="true"/>
        </w:trPr>
        <w:tc>
          <w:tcPr>
            <w:tcW w:type="dxa" w:w="1440"/>
            <w:vAlign w:val="center"/>
            <w:tcMar>
              <w:top w:w="90" w:type="dxa"/>
              <w:start w:w="90" w:type="dxa"/>
              <w:bottom w:w="90" w:type="dxa"/>
              <w:end w:w="90" w:type="dxa"/>
            </w:tcMar>
            <w:shd w:fill="1F4E79"/>
          </w:tcPr>
          <w:p>
            <w:pPr>
              <w:spacing w:after="0" w:line="252" w:lineRule="auto"/>
            </w:pPr>
            <w:r>
              <w:rPr>
                <w:rFonts w:ascii="Arial" w:hAnsi="Arial" w:eastAsia="Arial"/>
                <w:b/>
                <w:i w:val="0"/>
                <w:color w:val="FFFFFF"/>
                <w:sz w:val="16"/>
              </w:rPr>
              <w:t>Artefact</w:t>
            </w:r>
          </w:p>
        </w:tc>
        <w:tc>
          <w:tcPr>
            <w:tcW w:type="dxa" w:w="3024"/>
            <w:vAlign w:val="center"/>
            <w:tcMar>
              <w:top w:w="90" w:type="dxa"/>
              <w:start w:w="90" w:type="dxa"/>
              <w:bottom w:w="90" w:type="dxa"/>
              <w:end w:w="90" w:type="dxa"/>
            </w:tcMar>
            <w:shd w:fill="1F4E79"/>
          </w:tcPr>
          <w:p>
            <w:pPr>
              <w:spacing w:after="0" w:line="252" w:lineRule="auto"/>
            </w:pPr>
            <w:r>
              <w:rPr>
                <w:rFonts w:ascii="Arial" w:hAnsi="Arial" w:eastAsia="Arial"/>
                <w:b/>
                <w:i w:val="0"/>
                <w:color w:val="FFFFFF"/>
                <w:sz w:val="16"/>
              </w:rPr>
              <w:t>Testing area</w:t>
            </w:r>
          </w:p>
        </w:tc>
        <w:tc>
          <w:tcPr>
            <w:tcW w:type="dxa" w:w="6336"/>
            <w:vAlign w:val="center"/>
            <w:tcMar>
              <w:top w:w="90" w:type="dxa"/>
              <w:start w:w="90" w:type="dxa"/>
              <w:bottom w:w="90" w:type="dxa"/>
              <w:end w:w="90" w:type="dxa"/>
            </w:tcMar>
            <w:shd w:fill="1F4E79"/>
          </w:tcPr>
          <w:p>
            <w:pPr>
              <w:spacing w:after="0" w:line="252" w:lineRule="auto"/>
            </w:pPr>
            <w:r>
              <w:rPr>
                <w:rFonts w:ascii="Arial" w:hAnsi="Arial" w:eastAsia="Arial"/>
                <w:b/>
                <w:i w:val="0"/>
                <w:color w:val="FFFFFF"/>
                <w:sz w:val="16"/>
              </w:rPr>
              <w:t>Proposed tools</w:t>
            </w:r>
          </w:p>
        </w:tc>
        <w:tc>
          <w:tcPr>
            <w:tcW w:type="dxa" w:w="4608"/>
            <w:vAlign w:val="center"/>
            <w:tcMar>
              <w:top w:w="90" w:type="dxa"/>
              <w:start w:w="90" w:type="dxa"/>
              <w:bottom w:w="90" w:type="dxa"/>
              <w:end w:w="90" w:type="dxa"/>
            </w:tcMar>
            <w:shd w:fill="1F4E79"/>
          </w:tcPr>
          <w:p>
            <w:pPr>
              <w:spacing w:after="0" w:line="252" w:lineRule="auto"/>
            </w:pPr>
            <w:r>
              <w:rPr>
                <w:rFonts w:ascii="Arial" w:hAnsi="Arial" w:eastAsia="Arial"/>
                <w:b/>
                <w:i w:val="0"/>
                <w:color w:val="FFFFFF"/>
                <w:sz w:val="16"/>
              </w:rPr>
              <w:t>Evidence/output</w:t>
            </w:r>
          </w:p>
        </w:tc>
      </w:tr>
      <w:tr>
        <w:tc>
          <w:tcPr>
            <w:tcW w:type="dxa" w:w="1440"/>
            <w:vAlign w:val="center"/>
            <w:tcMar>
              <w:top w:w="90" w:type="dxa"/>
              <w:start w:w="90" w:type="dxa"/>
              <w:bottom w:w="90" w:type="dxa"/>
              <w:end w:w="90" w:type="dxa"/>
            </w:tcMar>
          </w:tcPr>
          <w:p>
            <w:pPr>
              <w:spacing w:after="0" w:line="252" w:lineRule="auto"/>
            </w:pPr>
            <w:r>
              <w:rPr>
                <w:rFonts w:ascii="Arial" w:hAnsi="Arial" w:eastAsia="Arial"/>
                <w:b w:val="0"/>
                <w:i w:val="0"/>
                <w:sz w:val="16"/>
              </w:rPr>
              <w:t>A1 Functional Test Report</w:t>
            </w:r>
          </w:p>
        </w:tc>
        <w:tc>
          <w:tcPr>
            <w:tcW w:type="dxa" w:w="3024"/>
            <w:vAlign w:val="center"/>
            <w:tcMar>
              <w:top w:w="90" w:type="dxa"/>
              <w:start w:w="90" w:type="dxa"/>
              <w:bottom w:w="90" w:type="dxa"/>
              <w:end w:w="90" w:type="dxa"/>
            </w:tcMar>
          </w:tcPr>
          <w:p>
            <w:pPr>
              <w:spacing w:after="0" w:line="252" w:lineRule="auto"/>
            </w:pPr>
            <w:r>
              <w:rPr>
                <w:rFonts w:ascii="Arial" w:hAnsi="Arial" w:eastAsia="Arial"/>
                <w:b w:val="0"/>
                <w:i w:val="0"/>
                <w:sz w:val="16"/>
              </w:rPr>
              <w:t>Chaincode, API, role workflows</w:t>
            </w:r>
          </w:p>
        </w:tc>
        <w:tc>
          <w:tcPr>
            <w:tcW w:type="dxa" w:w="6336"/>
            <w:vAlign w:val="center"/>
            <w:tcMar>
              <w:top w:w="90" w:type="dxa"/>
              <w:start w:w="90" w:type="dxa"/>
              <w:bottom w:w="90" w:type="dxa"/>
              <w:end w:w="90" w:type="dxa"/>
            </w:tcMar>
          </w:tcPr>
          <w:p>
            <w:pPr>
              <w:spacing w:after="0" w:line="252" w:lineRule="auto"/>
            </w:pPr>
            <w:r>
              <w:rPr>
                <w:rFonts w:ascii="Arial" w:hAnsi="Arial" w:eastAsia="Arial"/>
                <w:b w:val="0"/>
                <w:i w:val="0"/>
                <w:sz w:val="16"/>
              </w:rPr>
              <w:t>Hyperledger Fabric peer CLI, Fabric SDK scripts, Jest/Mocha, Supertest, curl, Playwright, manual mobile workflow testing</w:t>
            </w:r>
          </w:p>
        </w:tc>
        <w:tc>
          <w:tcPr>
            <w:tcW w:type="dxa" w:w="4608"/>
            <w:vAlign w:val="center"/>
            <w:tcMar>
              <w:top w:w="90" w:type="dxa"/>
              <w:start w:w="90" w:type="dxa"/>
              <w:bottom w:w="90" w:type="dxa"/>
              <w:end w:w="90" w:type="dxa"/>
            </w:tcMar>
          </w:tcPr>
          <w:p>
            <w:pPr>
              <w:spacing w:after="0" w:line="252" w:lineRule="auto"/>
            </w:pPr>
            <w:r>
              <w:rPr>
                <w:rFonts w:ascii="Arial" w:hAnsi="Arial" w:eastAsia="Arial"/>
                <w:b w:val="0"/>
                <w:i w:val="0"/>
                <w:sz w:val="16"/>
              </w:rPr>
              <w:t>functional_test_results.xlsx</w:t>
            </w:r>
            <w:r>
              <w:rPr>
                <w:rFonts w:ascii="Arial" w:hAnsi="Arial" w:eastAsia="Arial"/>
                <w:b w:val="0"/>
                <w:i w:val="0"/>
                <w:sz w:val="16"/>
              </w:rPr>
              <w:t>, screenshots, API responses, chaincode invoke/query logs</w:t>
            </w:r>
          </w:p>
        </w:tc>
      </w:tr>
      <w:tr>
        <w:tc>
          <w:tcPr>
            <w:tcW w:type="dxa" w:w="1440"/>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A2 Smart Contract Code Review</w:t>
            </w:r>
          </w:p>
        </w:tc>
        <w:tc>
          <w:tcPr>
            <w:tcW w:type="dxa" w:w="3024"/>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Chaincode static review, dependency review, manual OWASP checklist</w:t>
            </w:r>
          </w:p>
        </w:tc>
        <w:tc>
          <w:tcPr>
            <w:tcW w:type="dxa" w:w="6336"/>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 xml:space="preserve">ESLint, </w:t>
            </w:r>
            <w:r>
              <w:rPr>
                <w:rFonts w:ascii="Arial" w:hAnsi="Arial" w:eastAsia="Arial"/>
                <w:b w:val="0"/>
                <w:i w:val="0"/>
                <w:sz w:val="16"/>
              </w:rPr>
              <w:t>npm audit</w:t>
            </w:r>
            <w:r>
              <w:rPr>
                <w:rFonts w:ascii="Arial" w:hAnsi="Arial" w:eastAsia="Arial"/>
                <w:b w:val="0"/>
                <w:i w:val="0"/>
                <w:sz w:val="16"/>
              </w:rPr>
              <w:t>, manual review checklist</w:t>
            </w:r>
          </w:p>
        </w:tc>
        <w:tc>
          <w:tcPr>
            <w:tcW w:type="dxa" w:w="4608"/>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eslint_output.txt</w:t>
            </w:r>
            <w:r>
              <w:rPr>
                <w:rFonts w:ascii="Arial" w:hAnsi="Arial" w:eastAsia="Arial"/>
                <w:b w:val="0"/>
                <w:i w:val="0"/>
                <w:sz w:val="16"/>
              </w:rPr>
              <w:t xml:space="preserve">, </w:t>
            </w:r>
            <w:r>
              <w:rPr>
                <w:rFonts w:ascii="Arial" w:hAnsi="Arial" w:eastAsia="Arial"/>
                <w:b w:val="0"/>
                <w:i w:val="0"/>
                <w:sz w:val="16"/>
              </w:rPr>
              <w:t>npm_audit_output.json</w:t>
            </w:r>
            <w:r>
              <w:rPr>
                <w:rFonts w:ascii="Arial" w:hAnsi="Arial" w:eastAsia="Arial"/>
                <w:b w:val="0"/>
                <w:i w:val="0"/>
                <w:sz w:val="16"/>
              </w:rPr>
              <w:t>, code review findings</w:t>
            </w:r>
          </w:p>
        </w:tc>
      </w:tr>
      <w:tr>
        <w:tc>
          <w:tcPr>
            <w:tcW w:type="dxa" w:w="1440"/>
            <w:vAlign w:val="center"/>
            <w:tcMar>
              <w:top w:w="90" w:type="dxa"/>
              <w:start w:w="90" w:type="dxa"/>
              <w:bottom w:w="90" w:type="dxa"/>
              <w:end w:w="90" w:type="dxa"/>
            </w:tcMar>
          </w:tcPr>
          <w:p>
            <w:pPr>
              <w:spacing w:after="0" w:line="252" w:lineRule="auto"/>
            </w:pPr>
            <w:r>
              <w:rPr>
                <w:rFonts w:ascii="Arial" w:hAnsi="Arial" w:eastAsia="Arial"/>
                <w:b w:val="0"/>
                <w:i w:val="0"/>
                <w:sz w:val="16"/>
              </w:rPr>
              <w:t>A3 Extended Performance Benchmark</w:t>
            </w:r>
          </w:p>
        </w:tc>
        <w:tc>
          <w:tcPr>
            <w:tcW w:type="dxa" w:w="3024"/>
            <w:vAlign w:val="center"/>
            <w:tcMar>
              <w:top w:w="90" w:type="dxa"/>
              <w:start w:w="90" w:type="dxa"/>
              <w:bottom w:w="90" w:type="dxa"/>
              <w:end w:w="90" w:type="dxa"/>
            </w:tcMar>
          </w:tcPr>
          <w:p>
            <w:pPr>
              <w:spacing w:after="0" w:line="252" w:lineRule="auto"/>
            </w:pPr>
            <w:r>
              <w:rPr>
                <w:rFonts w:ascii="Arial" w:hAnsi="Arial" w:eastAsia="Arial"/>
                <w:b w:val="0"/>
                <w:i w:val="0"/>
                <w:sz w:val="16"/>
              </w:rPr>
              <w:t>readPatient</w:t>
            </w:r>
            <w:r>
              <w:rPr>
                <w:rFonts w:ascii="Arial" w:hAnsi="Arial" w:eastAsia="Arial"/>
                <w:b w:val="0"/>
                <w:i w:val="0"/>
                <w:sz w:val="16"/>
              </w:rPr>
              <w:t xml:space="preserve">, </w:t>
            </w:r>
            <w:r>
              <w:rPr>
                <w:rFonts w:ascii="Arial" w:hAnsi="Arial" w:eastAsia="Arial"/>
                <w:b w:val="0"/>
                <w:i w:val="0"/>
                <w:sz w:val="16"/>
              </w:rPr>
              <w:t>addPatient</w:t>
            </w:r>
            <w:r>
              <w:rPr>
                <w:rFonts w:ascii="Arial" w:hAnsi="Arial" w:eastAsia="Arial"/>
                <w:b w:val="0"/>
                <w:i w:val="0"/>
                <w:sz w:val="16"/>
              </w:rPr>
              <w:t xml:space="preserve">, </w:t>
            </w:r>
            <w:r>
              <w:rPr>
                <w:rFonts w:ascii="Arial" w:hAnsi="Arial" w:eastAsia="Arial"/>
                <w:b w:val="0"/>
                <w:i w:val="0"/>
                <w:sz w:val="16"/>
              </w:rPr>
              <w:t>deletePatient</w:t>
            </w:r>
            <w:r>
              <w:rPr>
                <w:rFonts w:ascii="Arial" w:hAnsi="Arial" w:eastAsia="Arial"/>
                <w:b w:val="0"/>
                <w:i w:val="0"/>
                <w:sz w:val="16"/>
              </w:rPr>
              <w:t xml:space="preserve"> at 300/500 TX</w:t>
            </w:r>
          </w:p>
        </w:tc>
        <w:tc>
          <w:tcPr>
            <w:tcW w:type="dxa" w:w="6336"/>
            <w:vAlign w:val="center"/>
            <w:tcMar>
              <w:top w:w="90" w:type="dxa"/>
              <w:start w:w="90" w:type="dxa"/>
              <w:bottom w:w="90" w:type="dxa"/>
              <w:end w:w="90" w:type="dxa"/>
            </w:tcMar>
          </w:tcPr>
          <w:p>
            <w:pPr>
              <w:spacing w:after="0" w:line="252" w:lineRule="auto"/>
            </w:pPr>
            <w:r>
              <w:rPr>
                <w:rFonts w:ascii="Arial" w:hAnsi="Arial" w:eastAsia="Arial"/>
                <w:b w:val="0"/>
                <w:i w:val="0"/>
                <w:sz w:val="16"/>
              </w:rPr>
              <w:t>Hyperledger Caliper, k6 where API-layer load is needed, Docker stats</w:t>
            </w:r>
          </w:p>
        </w:tc>
        <w:tc>
          <w:tcPr>
            <w:tcW w:type="dxa" w:w="4608"/>
            <w:vAlign w:val="center"/>
            <w:tcMar>
              <w:top w:w="90" w:type="dxa"/>
              <w:start w:w="90" w:type="dxa"/>
              <w:bottom w:w="90" w:type="dxa"/>
              <w:end w:w="90" w:type="dxa"/>
            </w:tcMar>
          </w:tcPr>
          <w:p>
            <w:pPr>
              <w:spacing w:after="0" w:line="252" w:lineRule="auto"/>
            </w:pPr>
            <w:r>
              <w:rPr>
                <w:rFonts w:ascii="Arial" w:hAnsi="Arial" w:eastAsia="Arial"/>
                <w:b w:val="0"/>
                <w:i w:val="0"/>
                <w:sz w:val="16"/>
              </w:rPr>
              <w:t>performance_benchmark_results.csv</w:t>
            </w:r>
            <w:r>
              <w:rPr>
                <w:rFonts w:ascii="Arial" w:hAnsi="Arial" w:eastAsia="Arial"/>
                <w:b w:val="0"/>
                <w:i w:val="0"/>
                <w:sz w:val="16"/>
              </w:rPr>
              <w:t xml:space="preserve">, raw Caliper/k6 output, </w:t>
            </w:r>
            <w:r>
              <w:rPr>
                <w:rFonts w:ascii="Arial" w:hAnsi="Arial" w:eastAsia="Arial"/>
                <w:b w:val="0"/>
                <w:i w:val="0"/>
                <w:sz w:val="16"/>
              </w:rPr>
              <w:t>docker_stats_peak.csv</w:t>
            </w:r>
          </w:p>
        </w:tc>
      </w:tr>
      <w:tr>
        <w:tc>
          <w:tcPr>
            <w:tcW w:type="dxa" w:w="1440"/>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A4 Interim Progress Report</w:t>
            </w:r>
          </w:p>
        </w:tc>
        <w:tc>
          <w:tcPr>
            <w:tcW w:type="dxa" w:w="3024"/>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Milestone status</w:t>
            </w:r>
          </w:p>
        </w:tc>
        <w:tc>
          <w:tcPr>
            <w:tcW w:type="dxa" w:w="6336"/>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Evidence index, defect log, executed test summary</w:t>
            </w:r>
          </w:p>
        </w:tc>
        <w:tc>
          <w:tcPr>
            <w:tcW w:type="dxa" w:w="4608"/>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interim_progress_report.pdf</w:t>
            </w:r>
          </w:p>
        </w:tc>
      </w:tr>
      <w:tr>
        <w:tc>
          <w:tcPr>
            <w:tcW w:type="dxa" w:w="1440"/>
            <w:vAlign w:val="center"/>
            <w:tcMar>
              <w:top w:w="90" w:type="dxa"/>
              <w:start w:w="90" w:type="dxa"/>
              <w:bottom w:w="90" w:type="dxa"/>
              <w:end w:w="90" w:type="dxa"/>
            </w:tcMar>
          </w:tcPr>
          <w:p>
            <w:pPr>
              <w:spacing w:after="0" w:line="252" w:lineRule="auto"/>
            </w:pPr>
            <w:r>
              <w:rPr>
                <w:rFonts w:ascii="Arial" w:hAnsi="Arial" w:eastAsia="Arial"/>
                <w:b w:val="0"/>
                <w:i w:val="0"/>
                <w:sz w:val="16"/>
              </w:rPr>
              <w:t>A5 Consent Workflow Benchmark</w:t>
            </w:r>
          </w:p>
        </w:tc>
        <w:tc>
          <w:tcPr>
            <w:tcW w:type="dxa" w:w="3024"/>
            <w:vAlign w:val="center"/>
            <w:tcMar>
              <w:top w:w="90" w:type="dxa"/>
              <w:start w:w="90" w:type="dxa"/>
              <w:bottom w:w="90" w:type="dxa"/>
              <w:end w:w="90" w:type="dxa"/>
            </w:tcMar>
          </w:tcPr>
          <w:p>
            <w:pPr>
              <w:spacing w:after="0" w:line="252" w:lineRule="auto"/>
            </w:pPr>
            <w:r>
              <w:rPr>
                <w:rFonts w:ascii="Arial" w:hAnsi="Arial" w:eastAsia="Arial"/>
                <w:b w:val="0"/>
                <w:i w:val="0"/>
                <w:sz w:val="16"/>
              </w:rPr>
              <w:t>RequestDataAccess</w:t>
            </w:r>
            <w:r>
              <w:rPr>
                <w:rFonts w:ascii="Arial" w:hAnsi="Arial" w:eastAsia="Arial"/>
                <w:b w:val="0"/>
                <w:i w:val="0"/>
                <w:sz w:val="16"/>
              </w:rPr>
              <w:t xml:space="preserve">, </w:t>
            </w:r>
            <w:r>
              <w:rPr>
                <w:rFonts w:ascii="Arial" w:hAnsi="Arial" w:eastAsia="Arial"/>
                <w:b w:val="0"/>
                <w:i w:val="0"/>
                <w:sz w:val="16"/>
              </w:rPr>
              <w:t>ApproveRequest</w:t>
            </w:r>
            <w:r>
              <w:rPr>
                <w:rFonts w:ascii="Arial" w:hAnsi="Arial" w:eastAsia="Arial"/>
                <w:b w:val="0"/>
                <w:i w:val="0"/>
                <w:sz w:val="16"/>
              </w:rPr>
              <w:t xml:space="preserve">, </w:t>
            </w:r>
            <w:r>
              <w:rPr>
                <w:rFonts w:ascii="Arial" w:hAnsi="Arial" w:eastAsia="Arial"/>
                <w:b w:val="0"/>
                <w:i w:val="0"/>
                <w:sz w:val="16"/>
              </w:rPr>
              <w:t>ProvideConsent</w:t>
            </w:r>
            <w:r>
              <w:rPr>
                <w:rFonts w:ascii="Arial" w:hAnsi="Arial" w:eastAsia="Arial"/>
                <w:b w:val="0"/>
                <w:i w:val="0"/>
                <w:sz w:val="16"/>
              </w:rPr>
              <w:t>, mixed workload</w:t>
            </w:r>
          </w:p>
        </w:tc>
        <w:tc>
          <w:tcPr>
            <w:tcW w:type="dxa" w:w="6336"/>
            <w:vAlign w:val="center"/>
            <w:tcMar>
              <w:top w:w="90" w:type="dxa"/>
              <w:start w:w="90" w:type="dxa"/>
              <w:bottom w:w="90" w:type="dxa"/>
              <w:end w:w="90" w:type="dxa"/>
            </w:tcMar>
          </w:tcPr>
          <w:p>
            <w:pPr>
              <w:spacing w:after="0" w:line="252" w:lineRule="auto"/>
            </w:pPr>
            <w:r>
              <w:rPr>
                <w:rFonts w:ascii="Arial" w:hAnsi="Arial" w:eastAsia="Arial"/>
                <w:b w:val="0"/>
                <w:i w:val="0"/>
                <w:sz w:val="16"/>
              </w:rPr>
              <w:t>Hyperledger Caliper workload modules, k6/API scripts, Docker stats</w:t>
            </w:r>
          </w:p>
        </w:tc>
        <w:tc>
          <w:tcPr>
            <w:tcW w:type="dxa" w:w="4608"/>
            <w:vAlign w:val="center"/>
            <w:tcMar>
              <w:top w:w="90" w:type="dxa"/>
              <w:start w:w="90" w:type="dxa"/>
              <w:bottom w:w="90" w:type="dxa"/>
              <w:end w:w="90" w:type="dxa"/>
            </w:tcMar>
          </w:tcPr>
          <w:p>
            <w:pPr>
              <w:spacing w:after="0" w:line="252" w:lineRule="auto"/>
            </w:pPr>
            <w:r>
              <w:rPr>
                <w:rFonts w:ascii="Arial" w:hAnsi="Arial" w:eastAsia="Arial"/>
                <w:b w:val="0"/>
                <w:i w:val="0"/>
                <w:sz w:val="16"/>
              </w:rPr>
              <w:t>consent_benchmark_results.csv</w:t>
            </w:r>
            <w:r>
              <w:rPr>
                <w:rFonts w:ascii="Arial" w:hAnsi="Arial" w:eastAsia="Arial"/>
                <w:b w:val="0"/>
                <w:i w:val="0"/>
                <w:sz w:val="16"/>
              </w:rPr>
              <w:t>, raw benchmark output, charts</w:t>
            </w:r>
          </w:p>
        </w:tc>
      </w:tr>
      <w:tr>
        <w:tc>
          <w:tcPr>
            <w:tcW w:type="dxa" w:w="1440"/>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A6 Multi-Clinic Scalability Report</w:t>
            </w:r>
          </w:p>
        </w:tc>
        <w:tc>
          <w:tcPr>
            <w:tcW w:type="dxa" w:w="3024"/>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2/4/6 organization scaling</w:t>
            </w:r>
          </w:p>
        </w:tc>
        <w:tc>
          <w:tcPr>
            <w:tcW w:type="dxa" w:w="6336"/>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 xml:space="preserve">Hyperledger Caliper, Docker stats for baseline, Kubernetes Metrics Server, </w:t>
            </w:r>
            <w:r>
              <w:rPr>
                <w:rFonts w:ascii="Arial" w:hAnsi="Arial" w:eastAsia="Arial"/>
                <w:b w:val="0"/>
                <w:i w:val="0"/>
                <w:sz w:val="16"/>
              </w:rPr>
              <w:t>kubectl top</w:t>
            </w:r>
            <w:r>
              <w:rPr>
                <w:rFonts w:ascii="Arial" w:hAnsi="Arial" w:eastAsia="Arial"/>
                <w:b w:val="0"/>
                <w:i w:val="0"/>
                <w:sz w:val="16"/>
              </w:rPr>
              <w:t>, HPA status</w:t>
            </w:r>
          </w:p>
        </w:tc>
        <w:tc>
          <w:tcPr>
            <w:tcW w:type="dxa" w:w="4608"/>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scalability_results.csv</w:t>
            </w:r>
            <w:r>
              <w:rPr>
                <w:rFonts w:ascii="Arial" w:hAnsi="Arial" w:eastAsia="Arial"/>
                <w:b w:val="0"/>
                <w:i w:val="0"/>
                <w:sz w:val="16"/>
              </w:rPr>
              <w:t>, resource curves, scaling report</w:t>
            </w:r>
          </w:p>
        </w:tc>
      </w:tr>
      <w:tr>
        <w:tc>
          <w:tcPr>
            <w:tcW w:type="dxa" w:w="1440"/>
            <w:vAlign w:val="center"/>
            <w:tcMar>
              <w:top w:w="90" w:type="dxa"/>
              <w:start w:w="90" w:type="dxa"/>
              <w:bottom w:w="90" w:type="dxa"/>
              <w:end w:w="90" w:type="dxa"/>
            </w:tcMar>
          </w:tcPr>
          <w:p>
            <w:pPr>
              <w:spacing w:after="0" w:line="252" w:lineRule="auto"/>
            </w:pPr>
            <w:r>
              <w:rPr>
                <w:rFonts w:ascii="Arial" w:hAnsi="Arial" w:eastAsia="Arial"/>
                <w:b w:val="0"/>
                <w:i w:val="0"/>
                <w:sz w:val="16"/>
              </w:rPr>
              <w:t>A7 Security Test Report</w:t>
            </w:r>
          </w:p>
        </w:tc>
        <w:tc>
          <w:tcPr>
            <w:tcW w:type="dxa" w:w="3024"/>
            <w:vAlign w:val="center"/>
            <w:tcMar>
              <w:top w:w="90" w:type="dxa"/>
              <w:start w:w="90" w:type="dxa"/>
              <w:bottom w:w="90" w:type="dxa"/>
              <w:end w:w="90" w:type="dxa"/>
            </w:tcMar>
          </w:tcPr>
          <w:p>
            <w:pPr>
              <w:spacing w:after="0" w:line="252" w:lineRule="auto"/>
            </w:pPr>
            <w:r>
              <w:rPr>
                <w:rFonts w:ascii="Arial" w:hAnsi="Arial" w:eastAsia="Arial"/>
                <w:b w:val="0"/>
                <w:i w:val="0"/>
                <w:sz w:val="16"/>
              </w:rPr>
              <w:t>STRIDE attack scenarios, RBAC bypass, consent bypass, token attacks, TLS, tampering</w:t>
            </w:r>
          </w:p>
        </w:tc>
        <w:tc>
          <w:tcPr>
            <w:tcW w:type="dxa" w:w="6336"/>
            <w:vAlign w:val="center"/>
            <w:tcMar>
              <w:top w:w="90" w:type="dxa"/>
              <w:start w:w="90" w:type="dxa"/>
              <w:bottom w:w="90" w:type="dxa"/>
              <w:end w:w="90" w:type="dxa"/>
            </w:tcMar>
          </w:tcPr>
          <w:p>
            <w:pPr>
              <w:spacing w:after="0" w:line="252" w:lineRule="auto"/>
            </w:pPr>
            <w:r>
              <w:rPr>
                <w:rFonts w:ascii="Arial" w:hAnsi="Arial" w:eastAsia="Arial"/>
                <w:b w:val="0"/>
                <w:i w:val="0"/>
                <w:sz w:val="16"/>
              </w:rPr>
              <w:t>OWASP ZAP, curl, Fabric peer CLI/Fabric SDK scripts, OpenSSL, custom negative-test scripts</w:t>
            </w:r>
          </w:p>
        </w:tc>
        <w:tc>
          <w:tcPr>
            <w:tcW w:type="dxa" w:w="4608"/>
            <w:vAlign w:val="center"/>
            <w:tcMar>
              <w:top w:w="90" w:type="dxa"/>
              <w:start w:w="90" w:type="dxa"/>
              <w:bottom w:w="90" w:type="dxa"/>
              <w:end w:w="90" w:type="dxa"/>
            </w:tcMar>
          </w:tcPr>
          <w:p>
            <w:pPr>
              <w:spacing w:after="0" w:line="252" w:lineRule="auto"/>
            </w:pPr>
            <w:r>
              <w:rPr>
                <w:rFonts w:ascii="Arial" w:hAnsi="Arial" w:eastAsia="Arial"/>
                <w:b w:val="0"/>
                <w:i w:val="0"/>
                <w:sz w:val="16"/>
              </w:rPr>
              <w:t>Security screenshots, attack result table, STRIDE mapping</w:t>
            </w:r>
          </w:p>
        </w:tc>
      </w:tr>
      <w:tr>
        <w:tc>
          <w:tcPr>
            <w:tcW w:type="dxa" w:w="1440"/>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A8 HIPAA / GDPR Compliance Matrix</w:t>
            </w:r>
          </w:p>
        </w:tc>
        <w:tc>
          <w:tcPr>
            <w:tcW w:type="dxa" w:w="3024"/>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Technical control evidence mapping</w:t>
            </w:r>
          </w:p>
        </w:tc>
        <w:tc>
          <w:tcPr>
            <w:tcW w:type="dxa" w:w="6336"/>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Manual compliance checklist, evidence from A1/A7/A9, TLS/hash/RBAC/audit validation</w:t>
            </w:r>
          </w:p>
        </w:tc>
        <w:tc>
          <w:tcPr>
            <w:tcW w:type="dxa" w:w="4608"/>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compliance_matrix.xlsx</w:t>
            </w:r>
            <w:r>
              <w:rPr>
                <w:rFonts w:ascii="Arial" w:hAnsi="Arial" w:eastAsia="Arial"/>
                <w:b w:val="0"/>
                <w:i w:val="0"/>
                <w:sz w:val="16"/>
              </w:rPr>
              <w:t xml:space="preserve">, </w:t>
            </w:r>
            <w:r>
              <w:rPr>
                <w:rFonts w:ascii="Arial" w:hAnsi="Arial" w:eastAsia="Arial"/>
                <w:b w:val="0"/>
                <w:i w:val="0"/>
                <w:sz w:val="16"/>
              </w:rPr>
              <w:t>compliance_matrix.pdf</w:t>
            </w:r>
          </w:p>
        </w:tc>
      </w:tr>
      <w:tr>
        <w:tc>
          <w:tcPr>
            <w:tcW w:type="dxa" w:w="1440"/>
            <w:vAlign w:val="center"/>
            <w:tcMar>
              <w:top w:w="90" w:type="dxa"/>
              <w:start w:w="90" w:type="dxa"/>
              <w:bottom w:w="90" w:type="dxa"/>
              <w:end w:w="90" w:type="dxa"/>
            </w:tcMar>
          </w:tcPr>
          <w:p>
            <w:pPr>
              <w:spacing w:after="0" w:line="252" w:lineRule="auto"/>
            </w:pPr>
            <w:r>
              <w:rPr>
                <w:rFonts w:ascii="Arial" w:hAnsi="Arial" w:eastAsia="Arial"/>
                <w:b w:val="0"/>
                <w:i w:val="0"/>
                <w:sz w:val="16"/>
              </w:rPr>
              <w:t>A9 Consent Workflow Verification</w:t>
            </w:r>
          </w:p>
        </w:tc>
        <w:tc>
          <w:tcPr>
            <w:tcW w:type="dxa" w:w="3024"/>
            <w:vAlign w:val="center"/>
            <w:tcMar>
              <w:top w:w="90" w:type="dxa"/>
              <w:start w:w="90" w:type="dxa"/>
              <w:bottom w:w="90" w:type="dxa"/>
              <w:end w:w="90" w:type="dxa"/>
            </w:tcMar>
          </w:tcPr>
          <w:p>
            <w:pPr>
              <w:spacing w:after="0" w:line="252" w:lineRule="auto"/>
            </w:pPr>
            <w:r>
              <w:rPr>
                <w:rFonts w:ascii="Arial" w:hAnsi="Arial" w:eastAsia="Arial"/>
                <w:b w:val="0"/>
                <w:i w:val="0"/>
                <w:sz w:val="16"/>
              </w:rPr>
              <w:t>Five consent scenarios and ledger evidence</w:t>
            </w:r>
          </w:p>
        </w:tc>
        <w:tc>
          <w:tcPr>
            <w:tcW w:type="dxa" w:w="6336"/>
            <w:vAlign w:val="center"/>
            <w:tcMar>
              <w:top w:w="90" w:type="dxa"/>
              <w:start w:w="90" w:type="dxa"/>
              <w:bottom w:w="90" w:type="dxa"/>
              <w:end w:w="90" w:type="dxa"/>
            </w:tcMar>
          </w:tcPr>
          <w:p>
            <w:pPr>
              <w:spacing w:after="0" w:line="252" w:lineRule="auto"/>
            </w:pPr>
            <w:r>
              <w:rPr>
                <w:rFonts w:ascii="Arial" w:hAnsi="Arial" w:eastAsia="Arial"/>
                <w:b w:val="0"/>
                <w:i w:val="0"/>
                <w:sz w:val="16"/>
              </w:rPr>
              <w:t>Fabric peer CLI/Fabric SDK, API calls, mobile screenshots, ledger/block/transaction queries</w:t>
            </w:r>
          </w:p>
        </w:tc>
        <w:tc>
          <w:tcPr>
            <w:tcW w:type="dxa" w:w="4608"/>
            <w:vAlign w:val="center"/>
            <w:tcMar>
              <w:top w:w="90" w:type="dxa"/>
              <w:start w:w="90" w:type="dxa"/>
              <w:bottom w:w="90" w:type="dxa"/>
              <w:end w:w="90" w:type="dxa"/>
            </w:tcMar>
          </w:tcPr>
          <w:p>
            <w:pPr>
              <w:spacing w:after="0" w:line="252" w:lineRule="auto"/>
            </w:pPr>
            <w:r>
              <w:rPr>
                <w:rFonts w:ascii="Arial" w:hAnsi="Arial" w:eastAsia="Arial"/>
                <w:b w:val="0"/>
                <w:i w:val="0"/>
                <w:sz w:val="16"/>
              </w:rPr>
              <w:t>Ledger TX IDs, timestamps, MSP identities, screenshots</w:t>
            </w:r>
          </w:p>
        </w:tc>
      </w:tr>
      <w:tr>
        <w:tc>
          <w:tcPr>
            <w:tcW w:type="dxa" w:w="1440"/>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A10 Enhancement Recommendations</w:t>
            </w:r>
          </w:p>
        </w:tc>
        <w:tc>
          <w:tcPr>
            <w:tcW w:type="dxa" w:w="3024"/>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Findings and production readiness</w:t>
            </w:r>
          </w:p>
        </w:tc>
        <w:tc>
          <w:tcPr>
            <w:tcW w:type="dxa" w:w="6336"/>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Defect log, benchmark data, security findings, compliance gaps</w:t>
            </w:r>
          </w:p>
        </w:tc>
        <w:tc>
          <w:tcPr>
            <w:tcW w:type="dxa" w:w="4608"/>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enhancement_recommendations.xlsx</w:t>
            </w:r>
            <w:r>
              <w:rPr>
                <w:rFonts w:ascii="Arial" w:hAnsi="Arial" w:eastAsia="Arial"/>
                <w:b w:val="0"/>
                <w:i w:val="0"/>
                <w:sz w:val="16"/>
              </w:rPr>
              <w:t>, enhancement report</w:t>
            </w:r>
          </w:p>
        </w:tc>
      </w:tr>
      <w:tr>
        <w:tc>
          <w:tcPr>
            <w:tcW w:type="dxa" w:w="1440"/>
            <w:vAlign w:val="center"/>
            <w:tcMar>
              <w:top w:w="90" w:type="dxa"/>
              <w:start w:w="90" w:type="dxa"/>
              <w:bottom w:w="90" w:type="dxa"/>
              <w:end w:w="90" w:type="dxa"/>
            </w:tcMar>
          </w:tcPr>
          <w:p>
            <w:pPr>
              <w:spacing w:after="0" w:line="252" w:lineRule="auto"/>
            </w:pPr>
            <w:r>
              <w:rPr>
                <w:rFonts w:ascii="Arial" w:hAnsi="Arial" w:eastAsia="Arial"/>
                <w:b w:val="0"/>
                <w:i w:val="0"/>
                <w:sz w:val="16"/>
              </w:rPr>
              <w:t>A11 Defect &amp; Finding Log</w:t>
            </w:r>
          </w:p>
        </w:tc>
        <w:tc>
          <w:tcPr>
            <w:tcW w:type="dxa" w:w="3024"/>
            <w:vAlign w:val="center"/>
            <w:tcMar>
              <w:top w:w="90" w:type="dxa"/>
              <w:start w:w="90" w:type="dxa"/>
              <w:bottom w:w="90" w:type="dxa"/>
              <w:end w:w="90" w:type="dxa"/>
            </w:tcMar>
          </w:tcPr>
          <w:p>
            <w:pPr>
              <w:spacing w:after="0" w:line="252" w:lineRule="auto"/>
            </w:pPr>
            <w:r>
              <w:rPr>
                <w:rFonts w:ascii="Arial" w:hAnsi="Arial" w:eastAsia="Arial"/>
                <w:b w:val="0"/>
                <w:i w:val="0"/>
                <w:sz w:val="16"/>
              </w:rPr>
              <w:t>Cross-objective issue tracking</w:t>
            </w:r>
          </w:p>
        </w:tc>
        <w:tc>
          <w:tcPr>
            <w:tcW w:type="dxa" w:w="6336"/>
            <w:vAlign w:val="center"/>
            <w:tcMar>
              <w:top w:w="90" w:type="dxa"/>
              <w:start w:w="90" w:type="dxa"/>
              <w:bottom w:w="90" w:type="dxa"/>
              <w:end w:w="90" w:type="dxa"/>
            </w:tcMar>
          </w:tcPr>
          <w:p>
            <w:pPr>
              <w:spacing w:after="0" w:line="252" w:lineRule="auto"/>
            </w:pPr>
            <w:r>
              <w:rPr>
                <w:rFonts w:ascii="Arial" w:hAnsi="Arial" w:eastAsia="Arial"/>
                <w:b w:val="0"/>
                <w:i w:val="0"/>
                <w:sz w:val="16"/>
              </w:rPr>
              <w:t>Structured XLSX log</w:t>
            </w:r>
          </w:p>
        </w:tc>
        <w:tc>
          <w:tcPr>
            <w:tcW w:type="dxa" w:w="4608"/>
            <w:vAlign w:val="center"/>
            <w:tcMar>
              <w:top w:w="90" w:type="dxa"/>
              <w:start w:w="90" w:type="dxa"/>
              <w:bottom w:w="90" w:type="dxa"/>
              <w:end w:w="90" w:type="dxa"/>
            </w:tcMar>
          </w:tcPr>
          <w:p>
            <w:pPr>
              <w:spacing w:after="0" w:line="252" w:lineRule="auto"/>
            </w:pPr>
            <w:r>
              <w:rPr>
                <w:rFonts w:ascii="Arial" w:hAnsi="Arial" w:eastAsia="Arial"/>
                <w:b w:val="0"/>
                <w:i w:val="0"/>
                <w:sz w:val="16"/>
              </w:rPr>
              <w:t>defect_log.xlsx</w:t>
            </w:r>
          </w:p>
        </w:tc>
      </w:tr>
      <w:tr>
        <w:tc>
          <w:tcPr>
            <w:tcW w:type="dxa" w:w="1440"/>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A12 Raw Data &amp; Evidence Package</w:t>
            </w:r>
          </w:p>
        </w:tc>
        <w:tc>
          <w:tcPr>
            <w:tcW w:type="dxa" w:w="3024"/>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Reproducibility archive</w:t>
            </w:r>
          </w:p>
        </w:tc>
        <w:tc>
          <w:tcPr>
            <w:tcW w:type="dxa" w:w="6336"/>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All tools above</w:t>
            </w:r>
          </w:p>
        </w:tc>
        <w:tc>
          <w:tcPr>
            <w:tcW w:type="dxa" w:w="4608"/>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ZIP with raw outputs, screenshots, logs, README</w:t>
            </w:r>
          </w:p>
        </w:tc>
      </w:tr>
    </w:tbl>
    <w:p/>
    <w:p>
      <w:pPr>
        <w:pStyle w:val="Heading1"/>
      </w:pPr>
      <w:r>
        <w:t>7. Functional Testing Scope</w:t>
      </w:r>
    </w:p>
    <w:p>
      <w:r>
        <w:rPr>
          <w:rFonts w:ascii="Arial" w:hAnsi="Arial" w:eastAsia="Arial"/>
          <w:b w:val="0"/>
          <w:i w:val="0"/>
          <w:sz w:val="19"/>
        </w:rPr>
        <w:t>Functional testing will verify that the implemented behavior matches the SRS and BRD workflows.</w:t>
      </w:r>
    </w:p>
    <w:p>
      <w:r>
        <w:rPr>
          <w:rFonts w:ascii="Arial" w:hAnsi="Arial" w:eastAsia="Arial"/>
          <w:b w:val="0"/>
          <w:i w:val="0"/>
          <w:sz w:val="19"/>
        </w:rPr>
        <w:t>In scope:</w:t>
      </w:r>
    </w:p>
    <w:p>
      <w:pPr>
        <w:spacing w:after="40"/>
      </w:pPr>
      <w:r>
        <w:rPr>
          <w:rFonts w:ascii="Arial" w:hAnsi="Arial" w:eastAsia="Arial"/>
          <w:b w:val="0"/>
          <w:i w:val="0"/>
          <w:sz w:val="18"/>
        </w:rPr>
        <w:t>- Chaincode function testing for all functions listed in the SRS registry.</w:t>
      </w:r>
    </w:p>
    <w:p>
      <w:pPr>
        <w:spacing w:after="40"/>
      </w:pPr>
      <w:r>
        <w:rPr>
          <w:rFonts w:ascii="Arial" w:hAnsi="Arial" w:eastAsia="Arial"/>
          <w:b w:val="0"/>
          <w:i w:val="0"/>
          <w:sz w:val="18"/>
        </w:rPr>
        <w:t>- API endpoint testing for authentication, patient management, doctor management, record management, access requests, admin approval, patient consent, and appointment workflows.</w:t>
      </w:r>
    </w:p>
    <w:p>
      <w:pPr>
        <w:spacing w:after="40"/>
      </w:pPr>
      <w:r>
        <w:rPr>
          <w:rFonts w:ascii="Arial" w:hAnsi="Arial" w:eastAsia="Arial"/>
          <w:b w:val="0"/>
          <w:i w:val="0"/>
          <w:sz w:val="18"/>
        </w:rPr>
        <w:t>- Role-based workflow validation for Admin, Doctor, Patient, and System actor flows.</w:t>
      </w:r>
    </w:p>
    <w:p>
      <w:pPr>
        <w:spacing w:after="40"/>
      </w:pPr>
      <w:r>
        <w:rPr>
          <w:rFonts w:ascii="Arial" w:hAnsi="Arial" w:eastAsia="Arial"/>
          <w:b w:val="0"/>
          <w:i w:val="0"/>
          <w:sz w:val="18"/>
        </w:rPr>
        <w:t>- Positive, negative, and boundary tests.</w:t>
      </w:r>
    </w:p>
    <w:p>
      <w:pPr>
        <w:spacing w:after="40"/>
      </w:pPr>
      <w:r>
        <w:rPr>
          <w:rFonts w:ascii="Arial" w:hAnsi="Arial" w:eastAsia="Arial"/>
          <w:b w:val="0"/>
          <w:i w:val="0"/>
          <w:sz w:val="18"/>
        </w:rPr>
        <w:t>- Validation that unauthorized roles receive explicit denial responses.</w:t>
      </w:r>
    </w:p>
    <w:p>
      <w:pPr>
        <w:spacing w:after="40"/>
      </w:pPr>
      <w:r>
        <w:rPr>
          <w:rFonts w:ascii="Arial" w:hAnsi="Arial" w:eastAsia="Arial"/>
          <w:b w:val="0"/>
          <w:i w:val="0"/>
          <w:sz w:val="18"/>
        </w:rPr>
        <w:t>- Validation that consent-dependent access is blocked until all required approval states are satisfied.</w:t>
      </w:r>
    </w:p>
    <w:p>
      <w:pPr>
        <w:spacing w:after="40"/>
      </w:pPr>
      <w:r>
        <w:rPr>
          <w:rFonts w:ascii="Arial" w:hAnsi="Arial" w:eastAsia="Arial"/>
          <w:b w:val="0"/>
          <w:i w:val="0"/>
          <w:sz w:val="18"/>
        </w:rPr>
        <w:t>- Evidence capture for pass/fail outcomes.</w:t>
      </w:r>
    </w:p>
    <w:p>
      <w:r>
        <w:rPr>
          <w:rFonts w:ascii="Arial" w:hAnsi="Arial" w:eastAsia="Arial"/>
          <w:b w:val="0"/>
          <w:i w:val="0"/>
          <w:sz w:val="19"/>
        </w:rPr>
        <w:t>Proposed tools:</w:t>
      </w:r>
    </w:p>
    <w:p>
      <w:pPr>
        <w:spacing w:after="40"/>
      </w:pPr>
      <w:r>
        <w:rPr>
          <w:rFonts w:ascii="Arial" w:hAnsi="Arial" w:eastAsia="Arial"/>
          <w:b w:val="0"/>
          <w:i w:val="0"/>
          <w:sz w:val="18"/>
        </w:rPr>
        <w:t>- Hyperledger Fabric peer CLI or Fabric Gateway/SDK scripts for direct chaincode invoke/query validation.</w:t>
      </w:r>
    </w:p>
    <w:p>
      <w:pPr>
        <w:spacing w:after="40"/>
      </w:pPr>
      <w:r>
        <w:rPr>
          <w:rFonts w:ascii="Arial" w:hAnsi="Arial" w:eastAsia="Arial"/>
          <w:b w:val="0"/>
          <w:i w:val="0"/>
          <w:sz w:val="18"/>
        </w:rPr>
        <w:t>- Jest or Mocha/Chai for repeatable test automation.</w:t>
      </w:r>
    </w:p>
    <w:p>
      <w:pPr>
        <w:spacing w:after="40"/>
      </w:pPr>
      <w:r>
        <w:rPr>
          <w:rFonts w:ascii="Arial" w:hAnsi="Arial" w:eastAsia="Arial"/>
          <w:b w:val="0"/>
          <w:i w:val="0"/>
          <w:sz w:val="18"/>
        </w:rPr>
        <w:t>- Supertest or curl for REST API endpoint validation.</w:t>
      </w:r>
    </w:p>
    <w:p>
      <w:pPr>
        <w:spacing w:after="40"/>
      </w:pPr>
      <w:r>
        <w:rPr>
          <w:rFonts w:ascii="Arial" w:hAnsi="Arial" w:eastAsia="Arial"/>
          <w:b w:val="0"/>
          <w:i w:val="0"/>
          <w:sz w:val="18"/>
        </w:rPr>
        <w:t>- Playwright for web portal workflow evidence.</w:t>
      </w:r>
    </w:p>
    <w:p>
      <w:pPr>
        <w:spacing w:after="40"/>
      </w:pPr>
      <w:r>
        <w:rPr>
          <w:rFonts w:ascii="Arial" w:hAnsi="Arial" w:eastAsia="Arial"/>
          <w:b w:val="0"/>
          <w:i w:val="0"/>
          <w:sz w:val="18"/>
        </w:rPr>
        <w:t>- Manual mobile workflow testing with screenshots for patient consent and appointment views.</w:t>
      </w:r>
    </w:p>
    <w:p>
      <w:r>
        <w:rPr>
          <w:rFonts w:ascii="Arial" w:hAnsi="Arial" w:eastAsia="Arial"/>
          <w:b w:val="0"/>
          <w:i w:val="0"/>
          <w:sz w:val="19"/>
        </w:rPr>
        <w:t>Dependencies/prerequisites:</w:t>
      </w:r>
    </w:p>
    <w:p>
      <w:pPr>
        <w:spacing w:after="40"/>
      </w:pPr>
      <w:r>
        <w:rPr>
          <w:rFonts w:ascii="Arial" w:hAnsi="Arial" w:eastAsia="Arial"/>
          <w:b w:val="0"/>
          <w:i w:val="0"/>
          <w:sz w:val="18"/>
        </w:rPr>
        <w:t>- Final API route list or OpenAPI collection, if available.</w:t>
      </w:r>
    </w:p>
    <w:p>
      <w:pPr>
        <w:spacing w:after="40"/>
      </w:pPr>
      <w:r>
        <w:rPr>
          <w:rFonts w:ascii="Arial" w:hAnsi="Arial" w:eastAsia="Arial"/>
          <w:b w:val="0"/>
          <w:i w:val="0"/>
          <w:sz w:val="18"/>
        </w:rPr>
        <w:t>- Fabric identities/MSP credentials for all roles.</w:t>
      </w:r>
    </w:p>
    <w:p>
      <w:pPr>
        <w:spacing w:after="40"/>
      </w:pPr>
      <w:r>
        <w:rPr>
          <w:rFonts w:ascii="Arial" w:hAnsi="Arial" w:eastAsia="Arial"/>
          <w:b w:val="0"/>
          <w:i w:val="0"/>
          <w:sz w:val="18"/>
        </w:rPr>
        <w:t>- Test users for Admin, Doctor, and Patient roles.</w:t>
      </w:r>
    </w:p>
    <w:p>
      <w:pPr>
        <w:spacing w:after="40"/>
      </w:pPr>
      <w:r>
        <w:rPr>
          <w:rFonts w:ascii="Arial" w:hAnsi="Arial" w:eastAsia="Arial"/>
          <w:b w:val="0"/>
          <w:i w:val="0"/>
          <w:sz w:val="18"/>
        </w:rPr>
        <w:t>- Synthetic patient, doctor, consent, and clinical data.</w:t>
      </w:r>
    </w:p>
    <w:p>
      <w:pPr>
        <w:spacing w:after="40"/>
      </w:pPr>
      <w:r>
        <w:rPr>
          <w:rFonts w:ascii="Arial" w:hAnsi="Arial" w:eastAsia="Arial"/>
          <w:b w:val="0"/>
          <w:i w:val="0"/>
          <w:sz w:val="18"/>
        </w:rPr>
        <w:t>- Access to web and mobile builds or deployed test endpoints.</w:t>
      </w:r>
    </w:p>
    <w:p>
      <w:pPr>
        <w:pStyle w:val="Heading1"/>
      </w:pPr>
      <w:r>
        <w:t>8. Smart Contract and Code Review Scope</w:t>
      </w:r>
    </w:p>
    <w:p>
      <w:r>
        <w:rPr>
          <w:rFonts w:ascii="Arial" w:hAnsi="Arial" w:eastAsia="Arial"/>
          <w:b w:val="0"/>
          <w:i w:val="0"/>
          <w:sz w:val="19"/>
        </w:rPr>
        <w:t>In scope:</w:t>
      </w:r>
    </w:p>
    <w:p>
      <w:pPr>
        <w:spacing w:after="40"/>
      </w:pPr>
      <w:r>
        <w:rPr>
          <w:rFonts w:ascii="Arial" w:hAnsi="Arial" w:eastAsia="Arial"/>
          <w:b w:val="0"/>
          <w:i w:val="0"/>
          <w:sz w:val="18"/>
        </w:rPr>
        <w:t>- JavaScript chaincode static analysis.</w:t>
      </w:r>
    </w:p>
    <w:p>
      <w:pPr>
        <w:spacing w:after="40"/>
      </w:pPr>
      <w:r>
        <w:rPr>
          <w:rFonts w:ascii="Arial" w:hAnsi="Arial" w:eastAsia="Arial"/>
          <w:b w:val="0"/>
          <w:i w:val="0"/>
          <w:sz w:val="18"/>
        </w:rPr>
        <w:t>- Dependency vulnerability review.</w:t>
      </w:r>
    </w:p>
    <w:p>
      <w:pPr>
        <w:spacing w:after="40"/>
      </w:pPr>
      <w:r>
        <w:rPr>
          <w:rFonts w:ascii="Arial" w:hAnsi="Arial" w:eastAsia="Arial"/>
          <w:b w:val="0"/>
          <w:i w:val="0"/>
          <w:sz w:val="18"/>
        </w:rPr>
        <w:t>- Manual review against the OWASP Smart Contract Top 10 checklist specified in the deliverables document.</w:t>
      </w:r>
    </w:p>
    <w:p>
      <w:pPr>
        <w:spacing w:after="40"/>
      </w:pPr>
      <w:r>
        <w:rPr>
          <w:rFonts w:ascii="Arial" w:hAnsi="Arial" w:eastAsia="Arial"/>
          <w:b w:val="0"/>
          <w:i w:val="0"/>
          <w:sz w:val="18"/>
        </w:rPr>
        <w:t>- Review of access control checks, input validation, error handling, event/log generation, unbounded loops, unsafe randomness, and dependency risk.</w:t>
      </w:r>
    </w:p>
    <w:p>
      <w:r>
        <w:rPr>
          <w:rFonts w:ascii="Arial" w:hAnsi="Arial" w:eastAsia="Arial"/>
          <w:b w:val="0"/>
          <w:i w:val="0"/>
          <w:sz w:val="19"/>
        </w:rPr>
        <w:t>Proposed tools:</w:t>
      </w:r>
    </w:p>
    <w:p>
      <w:pPr>
        <w:spacing w:after="40"/>
      </w:pPr>
      <w:r>
        <w:rPr>
          <w:rFonts w:ascii="Arial" w:hAnsi="Arial" w:eastAsia="Arial"/>
          <w:b w:val="0"/>
          <w:i w:val="0"/>
          <w:sz w:val="18"/>
        </w:rPr>
        <w:t>- ESLint for JavaScript linting and code quality checks.</w:t>
      </w:r>
    </w:p>
    <w:p>
      <w:pPr>
        <w:spacing w:after="40"/>
      </w:pPr>
      <w:r>
        <w:rPr>
          <w:rFonts w:ascii="Arial" w:hAnsi="Arial" w:eastAsia="Arial"/>
          <w:b w:val="0"/>
          <w:i w:val="0"/>
          <w:sz w:val="18"/>
        </w:rPr>
        <w:t xml:space="preserve">- </w:t>
      </w:r>
      <w:r>
        <w:rPr>
          <w:rFonts w:ascii="Consolas" w:hAnsi="Consolas" w:eastAsia="Consolas"/>
          <w:b w:val="0"/>
          <w:i w:val="0"/>
          <w:sz w:val="18"/>
        </w:rPr>
        <w:t>npm audit --json</w:t>
      </w:r>
      <w:r>
        <w:rPr>
          <w:rFonts w:ascii="Arial" w:hAnsi="Arial" w:eastAsia="Arial"/>
          <w:b w:val="0"/>
          <w:i w:val="0"/>
          <w:sz w:val="18"/>
        </w:rPr>
        <w:t xml:space="preserve"> for dependency vulnerability output required by the deliverables specification.</w:t>
      </w:r>
    </w:p>
    <w:p>
      <w:r>
        <w:rPr>
          <w:rFonts w:ascii="Arial" w:hAnsi="Arial" w:eastAsia="Arial"/>
          <w:b w:val="0"/>
          <w:i w:val="0"/>
          <w:sz w:val="19"/>
        </w:rPr>
        <w:t>Out of scope:</w:t>
      </w:r>
    </w:p>
    <w:p>
      <w:pPr>
        <w:spacing w:after="40"/>
      </w:pPr>
      <w:r>
        <w:rPr>
          <w:rFonts w:ascii="Arial" w:hAnsi="Arial" w:eastAsia="Arial"/>
          <w:b w:val="0"/>
          <w:i w:val="0"/>
          <w:sz w:val="18"/>
        </w:rPr>
        <w:t>- Modifying chaincode.</w:t>
      </w:r>
    </w:p>
    <w:p>
      <w:pPr>
        <w:spacing w:after="40"/>
      </w:pPr>
      <w:r>
        <w:rPr>
          <w:rFonts w:ascii="Arial" w:hAnsi="Arial" w:eastAsia="Arial"/>
          <w:b w:val="0"/>
          <w:i w:val="0"/>
          <w:sz w:val="18"/>
        </w:rPr>
        <w:t>- Refactoring or implementing missing security checks.</w:t>
      </w:r>
    </w:p>
    <w:p>
      <w:pPr>
        <w:spacing w:after="40"/>
      </w:pPr>
      <w:r>
        <w:rPr>
          <w:rFonts w:ascii="Arial" w:hAnsi="Arial" w:eastAsia="Arial"/>
          <w:b w:val="0"/>
          <w:i w:val="0"/>
          <w:sz w:val="18"/>
        </w:rPr>
        <w:t>- Dependency upgrades.</w:t>
      </w:r>
    </w:p>
    <w:p>
      <w:pPr>
        <w:spacing w:after="40"/>
      </w:pPr>
      <w:r>
        <w:rPr>
          <w:rFonts w:ascii="Arial" w:hAnsi="Arial" w:eastAsia="Arial"/>
          <w:b w:val="0"/>
          <w:i w:val="0"/>
          <w:sz w:val="18"/>
        </w:rPr>
        <w:t>- Fixing ESLint, audit, or manual review findings.</w:t>
      </w:r>
    </w:p>
    <w:p>
      <w:pPr>
        <w:pStyle w:val="Heading1"/>
      </w:pPr>
      <w:r>
        <w:t>9. Security Testing Scope</w:t>
      </w:r>
    </w:p>
    <w:p>
      <w:r>
        <w:rPr>
          <w:rFonts w:ascii="Arial" w:hAnsi="Arial" w:eastAsia="Arial"/>
          <w:b w:val="0"/>
          <w:i w:val="0"/>
          <w:sz w:val="19"/>
        </w:rPr>
        <w:t>Security testing will validate the 13 attack scenarios required by the testing deliverables specification and provide STRIDE mapping.</w:t>
      </w:r>
    </w:p>
    <w:p>
      <w:pPr>
        <w:pStyle w:val="Heading3"/>
      </w:pPr>
      <w:r>
        <w:t>9.1 Required Security Scenario Tool Map</w:t>
      </w:r>
    </w:p>
    <w:tbl>
      <w:tblPr>
        <w:tblStyle w:val="TableGrid"/>
        <w:tblW w:type="auto" w:w="0"/>
        <w:tblLayout w:type="autofit"/>
        <w:tblLook w:firstColumn="1" w:firstRow="1" w:lastColumn="0" w:lastRow="0" w:noHBand="0" w:noVBand="1" w:val="04A0"/>
      </w:tblPr>
      <w:tblGrid>
        <w:gridCol w:w="3855"/>
        <w:gridCol w:w="3855"/>
        <w:gridCol w:w="3855"/>
        <w:gridCol w:w="3855"/>
      </w:tblGrid>
      <w:tr>
        <w:trPr>
          <w:tblHeader w:val="true"/>
        </w:trPr>
        <w:tc>
          <w:tcPr>
            <w:tcW w:type="dxa" w:w="1440"/>
            <w:vAlign w:val="center"/>
            <w:tcMar>
              <w:top w:w="90" w:type="dxa"/>
              <w:start w:w="90" w:type="dxa"/>
              <w:bottom w:w="90" w:type="dxa"/>
              <w:end w:w="90" w:type="dxa"/>
            </w:tcMar>
            <w:shd w:fill="1F4E79"/>
          </w:tcPr>
          <w:p>
            <w:pPr>
              <w:spacing w:after="0" w:line="252" w:lineRule="auto"/>
            </w:pPr>
            <w:r>
              <w:rPr>
                <w:rFonts w:ascii="Arial" w:hAnsi="Arial" w:eastAsia="Arial"/>
                <w:b/>
                <w:i w:val="0"/>
                <w:color w:val="FFFFFF"/>
                <w:sz w:val="16"/>
              </w:rPr>
              <w:t>Test ID</w:t>
            </w:r>
          </w:p>
        </w:tc>
        <w:tc>
          <w:tcPr>
            <w:tcW w:type="dxa" w:w="3744"/>
            <w:vAlign w:val="center"/>
            <w:tcMar>
              <w:top w:w="90" w:type="dxa"/>
              <w:start w:w="90" w:type="dxa"/>
              <w:bottom w:w="90" w:type="dxa"/>
              <w:end w:w="90" w:type="dxa"/>
            </w:tcMar>
            <w:shd w:fill="1F4E79"/>
          </w:tcPr>
          <w:p>
            <w:pPr>
              <w:spacing w:after="0" w:line="252" w:lineRule="auto"/>
            </w:pPr>
            <w:r>
              <w:rPr>
                <w:rFonts w:ascii="Arial" w:hAnsi="Arial" w:eastAsia="Arial"/>
                <w:b/>
                <w:i w:val="0"/>
                <w:color w:val="FFFFFF"/>
                <w:sz w:val="16"/>
              </w:rPr>
              <w:t>Scenario</w:t>
            </w:r>
          </w:p>
        </w:tc>
        <w:tc>
          <w:tcPr>
            <w:tcW w:type="dxa" w:w="5184"/>
            <w:vAlign w:val="center"/>
            <w:tcMar>
              <w:top w:w="90" w:type="dxa"/>
              <w:start w:w="90" w:type="dxa"/>
              <w:bottom w:w="90" w:type="dxa"/>
              <w:end w:w="90" w:type="dxa"/>
            </w:tcMar>
            <w:shd w:fill="1F4E79"/>
          </w:tcPr>
          <w:p>
            <w:pPr>
              <w:spacing w:after="0" w:line="252" w:lineRule="auto"/>
            </w:pPr>
            <w:r>
              <w:rPr>
                <w:rFonts w:ascii="Arial" w:hAnsi="Arial" w:eastAsia="Arial"/>
                <w:b/>
                <w:i w:val="0"/>
                <w:color w:val="FFFFFF"/>
                <w:sz w:val="16"/>
              </w:rPr>
              <w:t>Primary tools</w:t>
            </w:r>
          </w:p>
        </w:tc>
        <w:tc>
          <w:tcPr>
            <w:tcW w:type="dxa" w:w="4896"/>
            <w:vAlign w:val="center"/>
            <w:tcMar>
              <w:top w:w="90" w:type="dxa"/>
              <w:start w:w="90" w:type="dxa"/>
              <w:bottom w:w="90" w:type="dxa"/>
              <w:end w:w="90" w:type="dxa"/>
            </w:tcMar>
            <w:shd w:fill="1F4E79"/>
          </w:tcPr>
          <w:p>
            <w:pPr>
              <w:spacing w:after="0" w:line="252" w:lineRule="auto"/>
            </w:pPr>
            <w:r>
              <w:rPr>
                <w:rFonts w:ascii="Arial" w:hAnsi="Arial" w:eastAsia="Arial"/>
                <w:b/>
                <w:i w:val="0"/>
                <w:color w:val="FFFFFF"/>
                <w:sz w:val="16"/>
              </w:rPr>
              <w:t>Evidence expected</w:t>
            </w:r>
          </w:p>
        </w:tc>
      </w:tr>
      <w:tr>
        <w:tc>
          <w:tcPr>
            <w:tcW w:type="dxa" w:w="1440"/>
            <w:vAlign w:val="center"/>
            <w:tcMar>
              <w:top w:w="90" w:type="dxa"/>
              <w:start w:w="90" w:type="dxa"/>
              <w:bottom w:w="90" w:type="dxa"/>
              <w:end w:w="90" w:type="dxa"/>
            </w:tcMar>
          </w:tcPr>
          <w:p>
            <w:pPr>
              <w:spacing w:after="0" w:line="252" w:lineRule="auto"/>
            </w:pPr>
            <w:r>
              <w:rPr>
                <w:rFonts w:ascii="Arial" w:hAnsi="Arial" w:eastAsia="Arial"/>
                <w:b w:val="0"/>
                <w:i w:val="0"/>
                <w:sz w:val="16"/>
              </w:rPr>
              <w:t>SEC-01</w:t>
            </w:r>
          </w:p>
        </w:tc>
        <w:tc>
          <w:tcPr>
            <w:tcW w:type="dxa" w:w="3744"/>
            <w:vAlign w:val="center"/>
            <w:tcMar>
              <w:top w:w="90" w:type="dxa"/>
              <w:start w:w="90" w:type="dxa"/>
              <w:bottom w:w="90" w:type="dxa"/>
              <w:end w:w="90" w:type="dxa"/>
            </w:tcMar>
          </w:tcPr>
          <w:p>
            <w:pPr>
              <w:spacing w:after="0" w:line="252" w:lineRule="auto"/>
            </w:pPr>
            <w:r>
              <w:rPr>
                <w:rFonts w:ascii="Arial" w:hAnsi="Arial" w:eastAsia="Arial"/>
                <w:b w:val="0"/>
                <w:i w:val="0"/>
                <w:sz w:val="16"/>
              </w:rPr>
              <w:t xml:space="preserve">Doctor invokes Admin-only </w:t>
            </w:r>
            <w:r>
              <w:rPr>
                <w:rFonts w:ascii="Arial" w:hAnsi="Arial" w:eastAsia="Arial"/>
                <w:b w:val="0"/>
                <w:i w:val="0"/>
                <w:sz w:val="16"/>
              </w:rPr>
              <w:t>ApproveRequest</w:t>
            </w:r>
          </w:p>
        </w:tc>
        <w:tc>
          <w:tcPr>
            <w:tcW w:type="dxa" w:w="5184"/>
            <w:vAlign w:val="center"/>
            <w:tcMar>
              <w:top w:w="90" w:type="dxa"/>
              <w:start w:w="90" w:type="dxa"/>
              <w:bottom w:w="90" w:type="dxa"/>
              <w:end w:w="90" w:type="dxa"/>
            </w:tcMar>
          </w:tcPr>
          <w:p>
            <w:pPr>
              <w:spacing w:after="0" w:line="252" w:lineRule="auto"/>
            </w:pPr>
            <w:r>
              <w:rPr>
                <w:rFonts w:ascii="Arial" w:hAnsi="Arial" w:eastAsia="Arial"/>
                <w:b w:val="0"/>
                <w:i w:val="0"/>
                <w:sz w:val="16"/>
              </w:rPr>
              <w:t>Fabric peer CLI/Fabric SDK using Doctor MSP; API negative test using curl/Jest</w:t>
            </w:r>
          </w:p>
        </w:tc>
        <w:tc>
          <w:tcPr>
            <w:tcW w:type="dxa" w:w="4896"/>
            <w:vAlign w:val="center"/>
            <w:tcMar>
              <w:top w:w="90" w:type="dxa"/>
              <w:start w:w="90" w:type="dxa"/>
              <w:bottom w:w="90" w:type="dxa"/>
              <w:end w:w="90" w:type="dxa"/>
            </w:tcMar>
          </w:tcPr>
          <w:p>
            <w:pPr>
              <w:spacing w:after="0" w:line="252" w:lineRule="auto"/>
            </w:pPr>
            <w:r>
              <w:rPr>
                <w:rFonts w:ascii="Arial" w:hAnsi="Arial" w:eastAsia="Arial"/>
                <w:b w:val="0"/>
                <w:i w:val="0"/>
                <w:sz w:val="16"/>
              </w:rPr>
              <w:t>Authorization failure, chaincode/API response, MSP identity used</w:t>
            </w:r>
          </w:p>
        </w:tc>
      </w:tr>
      <w:tr>
        <w:tc>
          <w:tcPr>
            <w:tcW w:type="dxa" w:w="1440"/>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SEC-02</w:t>
            </w:r>
          </w:p>
        </w:tc>
        <w:tc>
          <w:tcPr>
            <w:tcW w:type="dxa" w:w="3744"/>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 xml:space="preserve">Patient invokes Doctor-only </w:t>
            </w:r>
            <w:r>
              <w:rPr>
                <w:rFonts w:ascii="Arial" w:hAnsi="Arial" w:eastAsia="Arial"/>
                <w:b w:val="0"/>
                <w:i w:val="0"/>
                <w:sz w:val="16"/>
              </w:rPr>
              <w:t>AddMedicalRecord</w:t>
            </w:r>
          </w:p>
        </w:tc>
        <w:tc>
          <w:tcPr>
            <w:tcW w:type="dxa" w:w="5184"/>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API negative test using Patient JWT; Fabric peer CLI/Fabric SDK using Patient MSP</w:t>
            </w:r>
          </w:p>
        </w:tc>
        <w:tc>
          <w:tcPr>
            <w:tcW w:type="dxa" w:w="4896"/>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Authorization failure, API/chaincode response</w:t>
            </w:r>
          </w:p>
        </w:tc>
      </w:tr>
      <w:tr>
        <w:tc>
          <w:tcPr>
            <w:tcW w:type="dxa" w:w="1440"/>
            <w:vAlign w:val="center"/>
            <w:tcMar>
              <w:top w:w="90" w:type="dxa"/>
              <w:start w:w="90" w:type="dxa"/>
              <w:bottom w:w="90" w:type="dxa"/>
              <w:end w:w="90" w:type="dxa"/>
            </w:tcMar>
          </w:tcPr>
          <w:p>
            <w:pPr>
              <w:spacing w:after="0" w:line="252" w:lineRule="auto"/>
            </w:pPr>
            <w:r>
              <w:rPr>
                <w:rFonts w:ascii="Arial" w:hAnsi="Arial" w:eastAsia="Arial"/>
                <w:b w:val="0"/>
                <w:i w:val="0"/>
                <w:sz w:val="16"/>
              </w:rPr>
              <w:t>SEC-03</w:t>
            </w:r>
          </w:p>
        </w:tc>
        <w:tc>
          <w:tcPr>
            <w:tcW w:type="dxa" w:w="3744"/>
            <w:vAlign w:val="center"/>
            <w:tcMar>
              <w:top w:w="90" w:type="dxa"/>
              <w:start w:w="90" w:type="dxa"/>
              <w:bottom w:w="90" w:type="dxa"/>
              <w:end w:w="90" w:type="dxa"/>
            </w:tcMar>
          </w:tcPr>
          <w:p>
            <w:pPr>
              <w:spacing w:after="0" w:line="252" w:lineRule="auto"/>
            </w:pPr>
            <w:r>
              <w:rPr>
                <w:rFonts w:ascii="Arial" w:hAnsi="Arial" w:eastAsia="Arial"/>
                <w:b w:val="0"/>
                <w:i w:val="0"/>
                <w:sz w:val="16"/>
              </w:rPr>
              <w:t>Unauthenticated API call</w:t>
            </w:r>
          </w:p>
        </w:tc>
        <w:tc>
          <w:tcPr>
            <w:tcW w:type="dxa" w:w="5184"/>
            <w:vAlign w:val="center"/>
            <w:tcMar>
              <w:top w:w="90" w:type="dxa"/>
              <w:start w:w="90" w:type="dxa"/>
              <w:bottom w:w="90" w:type="dxa"/>
              <w:end w:w="90" w:type="dxa"/>
            </w:tcMar>
          </w:tcPr>
          <w:p>
            <w:pPr>
              <w:spacing w:after="0" w:line="252" w:lineRule="auto"/>
            </w:pPr>
            <w:r>
              <w:rPr>
                <w:rFonts w:ascii="Arial" w:hAnsi="Arial" w:eastAsia="Arial"/>
                <w:b w:val="0"/>
                <w:i w:val="0"/>
                <w:sz w:val="16"/>
              </w:rPr>
              <w:t>curl/Jest; OWASP ZAP passive scan for exposed endpoints</w:t>
            </w:r>
          </w:p>
        </w:tc>
        <w:tc>
          <w:tcPr>
            <w:tcW w:type="dxa" w:w="4896"/>
            <w:vAlign w:val="center"/>
            <w:tcMar>
              <w:top w:w="90" w:type="dxa"/>
              <w:start w:w="90" w:type="dxa"/>
              <w:bottom w:w="90" w:type="dxa"/>
              <w:end w:w="90" w:type="dxa"/>
            </w:tcMar>
          </w:tcPr>
          <w:p>
            <w:pPr>
              <w:spacing w:after="0" w:line="252" w:lineRule="auto"/>
            </w:pPr>
            <w:r>
              <w:rPr>
                <w:rFonts w:ascii="Arial" w:hAnsi="Arial" w:eastAsia="Arial"/>
                <w:b w:val="0"/>
                <w:i w:val="0"/>
                <w:sz w:val="16"/>
              </w:rPr>
              <w:t>HTTP 401/403 evidence and endpoint log</w:t>
            </w:r>
          </w:p>
        </w:tc>
      </w:tr>
      <w:tr>
        <w:tc>
          <w:tcPr>
            <w:tcW w:type="dxa" w:w="1440"/>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SEC-04</w:t>
            </w:r>
          </w:p>
        </w:tc>
        <w:tc>
          <w:tcPr>
            <w:tcW w:type="dxa" w:w="3744"/>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Expired JWT token</w:t>
            </w:r>
          </w:p>
        </w:tc>
        <w:tc>
          <w:tcPr>
            <w:tcW w:type="dxa" w:w="5184"/>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Locally generated/expired JWT; curl/Jest</w:t>
            </w:r>
          </w:p>
        </w:tc>
        <w:tc>
          <w:tcPr>
            <w:tcW w:type="dxa" w:w="4896"/>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HTTP 401/403 evidence and token expiry behavior</w:t>
            </w:r>
          </w:p>
        </w:tc>
      </w:tr>
      <w:tr>
        <w:tc>
          <w:tcPr>
            <w:tcW w:type="dxa" w:w="1440"/>
            <w:vAlign w:val="center"/>
            <w:tcMar>
              <w:top w:w="90" w:type="dxa"/>
              <w:start w:w="90" w:type="dxa"/>
              <w:bottom w:w="90" w:type="dxa"/>
              <w:end w:w="90" w:type="dxa"/>
            </w:tcMar>
          </w:tcPr>
          <w:p>
            <w:pPr>
              <w:spacing w:after="0" w:line="252" w:lineRule="auto"/>
            </w:pPr>
            <w:r>
              <w:rPr>
                <w:rFonts w:ascii="Arial" w:hAnsi="Arial" w:eastAsia="Arial"/>
                <w:b w:val="0"/>
                <w:i w:val="0"/>
                <w:sz w:val="16"/>
              </w:rPr>
              <w:t>SEC-05</w:t>
            </w:r>
          </w:p>
        </w:tc>
        <w:tc>
          <w:tcPr>
            <w:tcW w:type="dxa" w:w="3744"/>
            <w:vAlign w:val="center"/>
            <w:tcMar>
              <w:top w:w="90" w:type="dxa"/>
              <w:start w:w="90" w:type="dxa"/>
              <w:bottom w:w="90" w:type="dxa"/>
              <w:end w:w="90" w:type="dxa"/>
            </w:tcMar>
          </w:tcPr>
          <w:p>
            <w:pPr>
              <w:spacing w:after="0" w:line="252" w:lineRule="auto"/>
            </w:pPr>
            <w:r>
              <w:rPr>
                <w:rFonts w:ascii="Arial" w:hAnsi="Arial" w:eastAsia="Arial"/>
                <w:b w:val="0"/>
                <w:i w:val="0"/>
                <w:sz w:val="16"/>
              </w:rPr>
              <w:t>Tampered JWT token payload</w:t>
            </w:r>
          </w:p>
        </w:tc>
        <w:tc>
          <w:tcPr>
            <w:tcW w:type="dxa" w:w="5184"/>
            <w:vAlign w:val="center"/>
            <w:tcMar>
              <w:top w:w="90" w:type="dxa"/>
              <w:start w:w="90" w:type="dxa"/>
              <w:bottom w:w="90" w:type="dxa"/>
              <w:end w:w="90" w:type="dxa"/>
            </w:tcMar>
          </w:tcPr>
          <w:p>
            <w:pPr>
              <w:spacing w:after="0" w:line="252" w:lineRule="auto"/>
            </w:pPr>
            <w:r>
              <w:rPr>
                <w:rFonts w:ascii="Arial" w:hAnsi="Arial" w:eastAsia="Arial"/>
                <w:b w:val="0"/>
                <w:i w:val="0"/>
                <w:sz w:val="16"/>
              </w:rPr>
              <w:t>Local JWT manipulation; curl/Jest</w:t>
            </w:r>
          </w:p>
        </w:tc>
        <w:tc>
          <w:tcPr>
            <w:tcW w:type="dxa" w:w="4896"/>
            <w:vAlign w:val="center"/>
            <w:tcMar>
              <w:top w:w="90" w:type="dxa"/>
              <w:start w:w="90" w:type="dxa"/>
              <w:bottom w:w="90" w:type="dxa"/>
              <w:end w:w="90" w:type="dxa"/>
            </w:tcMar>
          </w:tcPr>
          <w:p>
            <w:pPr>
              <w:spacing w:after="0" w:line="252" w:lineRule="auto"/>
            </w:pPr>
            <w:r>
              <w:rPr>
                <w:rFonts w:ascii="Arial" w:hAnsi="Arial" w:eastAsia="Arial"/>
                <w:b w:val="0"/>
                <w:i w:val="0"/>
                <w:sz w:val="16"/>
              </w:rPr>
              <w:t>Signature/claim validation failure</w:t>
            </w:r>
          </w:p>
        </w:tc>
      </w:tr>
      <w:tr>
        <w:tc>
          <w:tcPr>
            <w:tcW w:type="dxa" w:w="1440"/>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SEC-06</w:t>
            </w:r>
          </w:p>
        </w:tc>
        <w:tc>
          <w:tcPr>
            <w:tcW w:type="dxa" w:w="3744"/>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Cross-org identity spoofing</w:t>
            </w:r>
          </w:p>
        </w:tc>
        <w:tc>
          <w:tcPr>
            <w:tcW w:type="dxa" w:w="5184"/>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Fabric peer CLI/Fabric SDK with wrong-org MSP; connection profile review</w:t>
            </w:r>
          </w:p>
        </w:tc>
        <w:tc>
          <w:tcPr>
            <w:tcW w:type="dxa" w:w="4896"/>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Chaincode/MSP rejection evidence</w:t>
            </w:r>
          </w:p>
        </w:tc>
      </w:tr>
      <w:tr>
        <w:tc>
          <w:tcPr>
            <w:tcW w:type="dxa" w:w="1440"/>
            <w:vAlign w:val="center"/>
            <w:tcMar>
              <w:top w:w="90" w:type="dxa"/>
              <w:start w:w="90" w:type="dxa"/>
              <w:bottom w:w="90" w:type="dxa"/>
              <w:end w:w="90" w:type="dxa"/>
            </w:tcMar>
          </w:tcPr>
          <w:p>
            <w:pPr>
              <w:spacing w:after="0" w:line="252" w:lineRule="auto"/>
            </w:pPr>
            <w:r>
              <w:rPr>
                <w:rFonts w:ascii="Arial" w:hAnsi="Arial" w:eastAsia="Arial"/>
                <w:b w:val="0"/>
                <w:i w:val="0"/>
                <w:sz w:val="16"/>
              </w:rPr>
              <w:t>SEC-07</w:t>
            </w:r>
          </w:p>
        </w:tc>
        <w:tc>
          <w:tcPr>
            <w:tcW w:type="dxa" w:w="3744"/>
            <w:vAlign w:val="center"/>
            <w:tcMar>
              <w:top w:w="90" w:type="dxa"/>
              <w:start w:w="90" w:type="dxa"/>
              <w:bottom w:w="90" w:type="dxa"/>
              <w:end w:w="90" w:type="dxa"/>
            </w:tcMar>
          </w:tcPr>
          <w:p>
            <w:pPr>
              <w:spacing w:after="0" w:line="252" w:lineRule="auto"/>
            </w:pPr>
            <w:r>
              <w:rPr>
                <w:rFonts w:ascii="Arial" w:hAnsi="Arial" w:eastAsia="Arial"/>
                <w:b w:val="0"/>
                <w:i w:val="0"/>
                <w:sz w:val="16"/>
              </w:rPr>
              <w:t>Access data without consent</w:t>
            </w:r>
          </w:p>
        </w:tc>
        <w:tc>
          <w:tcPr>
            <w:tcW w:type="dxa" w:w="5184"/>
            <w:vAlign w:val="center"/>
            <w:tcMar>
              <w:top w:w="90" w:type="dxa"/>
              <w:start w:w="90" w:type="dxa"/>
              <w:bottom w:w="90" w:type="dxa"/>
              <w:end w:w="90" w:type="dxa"/>
            </w:tcMar>
          </w:tcPr>
          <w:p>
            <w:pPr>
              <w:spacing w:after="0" w:line="252" w:lineRule="auto"/>
            </w:pPr>
            <w:r>
              <w:rPr>
                <w:rFonts w:ascii="Arial" w:hAnsi="Arial" w:eastAsia="Arial"/>
                <w:b w:val="0"/>
                <w:i w:val="0"/>
                <w:sz w:val="16"/>
              </w:rPr>
              <w:t>API/chaincode request before consent; ledger state query</w:t>
            </w:r>
          </w:p>
        </w:tc>
        <w:tc>
          <w:tcPr>
            <w:tcW w:type="dxa" w:w="4896"/>
            <w:vAlign w:val="center"/>
            <w:tcMar>
              <w:top w:w="90" w:type="dxa"/>
              <w:start w:w="90" w:type="dxa"/>
              <w:bottom w:w="90" w:type="dxa"/>
              <w:end w:w="90" w:type="dxa"/>
            </w:tcMar>
          </w:tcPr>
          <w:p>
            <w:pPr>
              <w:spacing w:after="0" w:line="252" w:lineRule="auto"/>
            </w:pPr>
            <w:r>
              <w:rPr>
                <w:rFonts w:ascii="Arial" w:hAnsi="Arial" w:eastAsia="Arial"/>
                <w:b w:val="0"/>
                <w:i w:val="0"/>
                <w:sz w:val="16"/>
              </w:rPr>
              <w:t>Access denied response and current consent state</w:t>
            </w:r>
          </w:p>
        </w:tc>
      </w:tr>
      <w:tr>
        <w:tc>
          <w:tcPr>
            <w:tcW w:type="dxa" w:w="1440"/>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SEC-08</w:t>
            </w:r>
          </w:p>
        </w:tc>
        <w:tc>
          <w:tcPr>
            <w:tcW w:type="dxa" w:w="3744"/>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Bypass admin approval step</w:t>
            </w:r>
          </w:p>
        </w:tc>
        <w:tc>
          <w:tcPr>
            <w:tcW w:type="dxa" w:w="5184"/>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 xml:space="preserve">Attempt </w:t>
            </w:r>
            <w:r>
              <w:rPr>
                <w:rFonts w:ascii="Arial" w:hAnsi="Arial" w:eastAsia="Arial"/>
                <w:b w:val="0"/>
                <w:i w:val="0"/>
                <w:sz w:val="16"/>
              </w:rPr>
              <w:t>ProvideConsent</w:t>
            </w:r>
            <w:r>
              <w:rPr>
                <w:rFonts w:ascii="Arial" w:hAnsi="Arial" w:eastAsia="Arial"/>
                <w:b w:val="0"/>
                <w:i w:val="0"/>
                <w:sz w:val="16"/>
              </w:rPr>
              <w:t xml:space="preserve"> before </w:t>
            </w:r>
            <w:r>
              <w:rPr>
                <w:rFonts w:ascii="Arial" w:hAnsi="Arial" w:eastAsia="Arial"/>
                <w:b w:val="0"/>
                <w:i w:val="0"/>
                <w:sz w:val="16"/>
              </w:rPr>
              <w:t>ApproveRequest</w:t>
            </w:r>
            <w:r>
              <w:rPr>
                <w:rFonts w:ascii="Arial" w:hAnsi="Arial" w:eastAsia="Arial"/>
                <w:b w:val="0"/>
                <w:i w:val="0"/>
                <w:sz w:val="16"/>
              </w:rPr>
              <w:t>; peer/API test</w:t>
            </w:r>
          </w:p>
        </w:tc>
        <w:tc>
          <w:tcPr>
            <w:tcW w:type="dxa" w:w="4896"/>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Invalid transition rejection</w:t>
            </w:r>
          </w:p>
        </w:tc>
      </w:tr>
      <w:tr>
        <w:tc>
          <w:tcPr>
            <w:tcW w:type="dxa" w:w="1440"/>
            <w:vAlign w:val="center"/>
            <w:tcMar>
              <w:top w:w="90" w:type="dxa"/>
              <w:start w:w="90" w:type="dxa"/>
              <w:bottom w:w="90" w:type="dxa"/>
              <w:end w:w="90" w:type="dxa"/>
            </w:tcMar>
          </w:tcPr>
          <w:p>
            <w:pPr>
              <w:spacing w:after="0" w:line="252" w:lineRule="auto"/>
            </w:pPr>
            <w:r>
              <w:rPr>
                <w:rFonts w:ascii="Arial" w:hAnsi="Arial" w:eastAsia="Arial"/>
                <w:b w:val="0"/>
                <w:i w:val="0"/>
                <w:sz w:val="16"/>
              </w:rPr>
              <w:t>SEC-09</w:t>
            </w:r>
          </w:p>
        </w:tc>
        <w:tc>
          <w:tcPr>
            <w:tcW w:type="dxa" w:w="3744"/>
            <w:vAlign w:val="center"/>
            <w:tcMar>
              <w:top w:w="90" w:type="dxa"/>
              <w:start w:w="90" w:type="dxa"/>
              <w:bottom w:w="90" w:type="dxa"/>
              <w:end w:w="90" w:type="dxa"/>
            </w:tcMar>
          </w:tcPr>
          <w:p>
            <w:pPr>
              <w:spacing w:after="0" w:line="252" w:lineRule="auto"/>
            </w:pPr>
            <w:r>
              <w:rPr>
                <w:rFonts w:ascii="Arial" w:hAnsi="Arial" w:eastAsia="Arial"/>
                <w:b w:val="0"/>
                <w:i w:val="0"/>
                <w:sz w:val="16"/>
              </w:rPr>
              <w:t>Consent replay attack</w:t>
            </w:r>
          </w:p>
        </w:tc>
        <w:tc>
          <w:tcPr>
            <w:tcW w:type="dxa" w:w="5184"/>
            <w:vAlign w:val="center"/>
            <w:tcMar>
              <w:top w:w="90" w:type="dxa"/>
              <w:start w:w="90" w:type="dxa"/>
              <w:bottom w:w="90" w:type="dxa"/>
              <w:end w:w="90" w:type="dxa"/>
            </w:tcMar>
          </w:tcPr>
          <w:p>
            <w:pPr>
              <w:spacing w:after="0" w:line="252" w:lineRule="auto"/>
            </w:pPr>
            <w:r>
              <w:rPr>
                <w:rFonts w:ascii="Arial" w:hAnsi="Arial" w:eastAsia="Arial"/>
                <w:b w:val="0"/>
                <w:i w:val="0"/>
                <w:sz w:val="16"/>
              </w:rPr>
              <w:t>Fabric SDK/peer CLI duplicate transaction attempt; repeated API consent call</w:t>
            </w:r>
          </w:p>
        </w:tc>
        <w:tc>
          <w:tcPr>
            <w:tcW w:type="dxa" w:w="4896"/>
            <w:vAlign w:val="center"/>
            <w:tcMar>
              <w:top w:w="90" w:type="dxa"/>
              <w:start w:w="90" w:type="dxa"/>
              <w:bottom w:w="90" w:type="dxa"/>
              <w:end w:w="90" w:type="dxa"/>
            </w:tcMar>
          </w:tcPr>
          <w:p>
            <w:pPr>
              <w:spacing w:after="0" w:line="252" w:lineRule="auto"/>
            </w:pPr>
            <w:r>
              <w:rPr>
                <w:rFonts w:ascii="Arial" w:hAnsi="Arial" w:eastAsia="Arial"/>
                <w:b w:val="0"/>
                <w:i w:val="0"/>
                <w:sz w:val="16"/>
              </w:rPr>
              <w:t>Duplicate/replay rejection or defect evidence</w:t>
            </w:r>
          </w:p>
        </w:tc>
      </w:tr>
      <w:tr>
        <w:tc>
          <w:tcPr>
            <w:tcW w:type="dxa" w:w="1440"/>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SEC-10</w:t>
            </w:r>
          </w:p>
        </w:tc>
        <w:tc>
          <w:tcPr>
            <w:tcW w:type="dxa" w:w="3744"/>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Access after consent revocation</w:t>
            </w:r>
          </w:p>
        </w:tc>
        <w:tc>
          <w:tcPr>
            <w:tcW w:type="dxa" w:w="5184"/>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API/chaincode access attempt after revocation/rejection state</w:t>
            </w:r>
          </w:p>
        </w:tc>
        <w:tc>
          <w:tcPr>
            <w:tcW w:type="dxa" w:w="4896"/>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Access denied response or gap if revocation is unsupported</w:t>
            </w:r>
          </w:p>
        </w:tc>
      </w:tr>
      <w:tr>
        <w:tc>
          <w:tcPr>
            <w:tcW w:type="dxa" w:w="1440"/>
            <w:vAlign w:val="center"/>
            <w:tcMar>
              <w:top w:w="90" w:type="dxa"/>
              <w:start w:w="90" w:type="dxa"/>
              <w:bottom w:w="90" w:type="dxa"/>
              <w:end w:w="90" w:type="dxa"/>
            </w:tcMar>
          </w:tcPr>
          <w:p>
            <w:pPr>
              <w:spacing w:after="0" w:line="252" w:lineRule="auto"/>
            </w:pPr>
            <w:r>
              <w:rPr>
                <w:rFonts w:ascii="Arial" w:hAnsi="Arial" w:eastAsia="Arial"/>
                <w:b w:val="0"/>
                <w:i w:val="0"/>
                <w:sz w:val="16"/>
              </w:rPr>
              <w:t>SEC-11</w:t>
            </w:r>
          </w:p>
        </w:tc>
        <w:tc>
          <w:tcPr>
            <w:tcW w:type="dxa" w:w="3744"/>
            <w:vAlign w:val="center"/>
            <w:tcMar>
              <w:top w:w="90" w:type="dxa"/>
              <w:start w:w="90" w:type="dxa"/>
              <w:bottom w:w="90" w:type="dxa"/>
              <w:end w:w="90" w:type="dxa"/>
            </w:tcMar>
          </w:tcPr>
          <w:p>
            <w:pPr>
              <w:spacing w:after="0" w:line="252" w:lineRule="auto"/>
            </w:pPr>
            <w:r>
              <w:rPr>
                <w:rFonts w:ascii="Arial" w:hAnsi="Arial" w:eastAsia="Arial"/>
                <w:b w:val="0"/>
                <w:i w:val="0"/>
                <w:sz w:val="16"/>
              </w:rPr>
              <w:t>Off-chain data tampering</w:t>
            </w:r>
          </w:p>
        </w:tc>
        <w:tc>
          <w:tcPr>
            <w:tcW w:type="dxa" w:w="5184"/>
            <w:vAlign w:val="center"/>
            <w:tcMar>
              <w:top w:w="90" w:type="dxa"/>
              <w:start w:w="90" w:type="dxa"/>
              <w:bottom w:w="90" w:type="dxa"/>
              <w:end w:w="90" w:type="dxa"/>
            </w:tcMar>
          </w:tcPr>
          <w:p>
            <w:pPr>
              <w:spacing w:after="0" w:line="252" w:lineRule="auto"/>
            </w:pPr>
            <w:r>
              <w:rPr>
                <w:rFonts w:ascii="Arial" w:hAnsi="Arial" w:eastAsia="Arial"/>
                <w:b w:val="0"/>
                <w:i w:val="0"/>
                <w:sz w:val="16"/>
              </w:rPr>
              <w:t>MySQL/file test fixture modification; hash verification script/API</w:t>
            </w:r>
          </w:p>
        </w:tc>
        <w:tc>
          <w:tcPr>
            <w:tcW w:type="dxa" w:w="4896"/>
            <w:vAlign w:val="center"/>
            <w:tcMar>
              <w:top w:w="90" w:type="dxa"/>
              <w:start w:w="90" w:type="dxa"/>
              <w:bottom w:w="90" w:type="dxa"/>
              <w:end w:w="90" w:type="dxa"/>
            </w:tcMar>
          </w:tcPr>
          <w:p>
            <w:pPr>
              <w:spacing w:after="0" w:line="252" w:lineRule="auto"/>
            </w:pPr>
            <w:r>
              <w:rPr>
                <w:rFonts w:ascii="Arial" w:hAnsi="Arial" w:eastAsia="Arial"/>
                <w:b w:val="0"/>
                <w:i w:val="0"/>
                <w:sz w:val="16"/>
              </w:rPr>
              <w:t>SHA-256 mismatch evidence</w:t>
            </w:r>
          </w:p>
        </w:tc>
      </w:tr>
      <w:tr>
        <w:tc>
          <w:tcPr>
            <w:tcW w:type="dxa" w:w="1440"/>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SEC-12</w:t>
            </w:r>
          </w:p>
        </w:tc>
        <w:tc>
          <w:tcPr>
            <w:tcW w:type="dxa" w:w="3744"/>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Ledger immutability</w:t>
            </w:r>
          </w:p>
        </w:tc>
        <w:tc>
          <w:tcPr>
            <w:tcW w:type="dxa" w:w="5184"/>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Fabric peer CLI queries; controlled non-production ledger/state tamper attempt only if authorized</w:t>
            </w:r>
          </w:p>
        </w:tc>
        <w:tc>
          <w:tcPr>
            <w:tcW w:type="dxa" w:w="4896"/>
            <w:vAlign w:val="center"/>
            <w:tcMar>
              <w:top w:w="90" w:type="dxa"/>
              <w:start w:w="90" w:type="dxa"/>
              <w:bottom w:w="90" w:type="dxa"/>
              <w:end w:w="90" w:type="dxa"/>
            </w:tcMar>
            <w:shd w:fill="F6FAFD"/>
          </w:tcPr>
          <w:p>
            <w:pPr>
              <w:spacing w:after="0" w:line="252" w:lineRule="auto"/>
            </w:pPr>
            <w:r>
              <w:rPr>
                <w:rFonts w:ascii="Arial" w:hAnsi="Arial" w:eastAsia="Arial"/>
                <w:b w:val="0"/>
                <w:i w:val="0"/>
                <w:sz w:val="16"/>
              </w:rPr>
              <w:t>Ledger remains authoritative, direct mutation blocked, or risk/gap documented</w:t>
            </w:r>
          </w:p>
        </w:tc>
      </w:tr>
      <w:tr>
        <w:tc>
          <w:tcPr>
            <w:tcW w:type="dxa" w:w="1440"/>
            <w:vAlign w:val="center"/>
            <w:tcMar>
              <w:top w:w="90" w:type="dxa"/>
              <w:start w:w="90" w:type="dxa"/>
              <w:bottom w:w="90" w:type="dxa"/>
              <w:end w:w="90" w:type="dxa"/>
            </w:tcMar>
          </w:tcPr>
          <w:p>
            <w:pPr>
              <w:spacing w:after="0" w:line="252" w:lineRule="auto"/>
            </w:pPr>
            <w:r>
              <w:rPr>
                <w:rFonts w:ascii="Arial" w:hAnsi="Arial" w:eastAsia="Arial"/>
                <w:b w:val="0"/>
                <w:i w:val="0"/>
                <w:sz w:val="16"/>
              </w:rPr>
              <w:t>SEC-13</w:t>
            </w:r>
          </w:p>
        </w:tc>
        <w:tc>
          <w:tcPr>
            <w:tcW w:type="dxa" w:w="3744"/>
            <w:vAlign w:val="center"/>
            <w:tcMar>
              <w:top w:w="90" w:type="dxa"/>
              <w:start w:w="90" w:type="dxa"/>
              <w:bottom w:w="90" w:type="dxa"/>
              <w:end w:w="90" w:type="dxa"/>
            </w:tcMar>
          </w:tcPr>
          <w:p>
            <w:pPr>
              <w:spacing w:after="0" w:line="252" w:lineRule="auto"/>
            </w:pPr>
            <w:r>
              <w:rPr>
                <w:rFonts w:ascii="Arial" w:hAnsi="Arial" w:eastAsia="Arial"/>
                <w:b w:val="0"/>
                <w:i w:val="0"/>
                <w:sz w:val="16"/>
              </w:rPr>
              <w:t>TLS interception / invalid TLS</w:t>
            </w:r>
          </w:p>
        </w:tc>
        <w:tc>
          <w:tcPr>
            <w:tcW w:type="dxa" w:w="5184"/>
            <w:vAlign w:val="center"/>
            <w:tcMar>
              <w:top w:w="90" w:type="dxa"/>
              <w:start w:w="90" w:type="dxa"/>
              <w:bottom w:w="90" w:type="dxa"/>
              <w:end w:w="90" w:type="dxa"/>
            </w:tcMar>
          </w:tcPr>
          <w:p>
            <w:pPr>
              <w:spacing w:after="0" w:line="252" w:lineRule="auto"/>
            </w:pPr>
            <w:r>
              <w:rPr>
                <w:rFonts w:ascii="Arial" w:hAnsi="Arial" w:eastAsia="Arial"/>
                <w:b w:val="0"/>
                <w:i w:val="0"/>
                <w:sz w:val="16"/>
              </w:rPr>
              <w:t xml:space="preserve">OpenSSL </w:t>
            </w:r>
            <w:r>
              <w:rPr>
                <w:rFonts w:ascii="Arial" w:hAnsi="Arial" w:eastAsia="Arial"/>
                <w:b w:val="0"/>
                <w:i w:val="0"/>
                <w:sz w:val="16"/>
              </w:rPr>
              <w:t>s_client</w:t>
            </w:r>
            <w:r>
              <w:rPr>
                <w:rFonts w:ascii="Arial" w:hAnsi="Arial" w:eastAsia="Arial"/>
                <w:b w:val="0"/>
                <w:i w:val="0"/>
                <w:sz w:val="16"/>
              </w:rPr>
              <w:t>, connection profile review</w:t>
            </w:r>
          </w:p>
        </w:tc>
        <w:tc>
          <w:tcPr>
            <w:tcW w:type="dxa" w:w="4896"/>
            <w:vAlign w:val="center"/>
            <w:tcMar>
              <w:top w:w="90" w:type="dxa"/>
              <w:start w:w="90" w:type="dxa"/>
              <w:bottom w:w="90" w:type="dxa"/>
              <w:end w:w="90" w:type="dxa"/>
            </w:tcMar>
          </w:tcPr>
          <w:p>
            <w:pPr>
              <w:spacing w:after="0" w:line="252" w:lineRule="auto"/>
            </w:pPr>
            <w:r>
              <w:rPr>
                <w:rFonts w:ascii="Arial" w:hAnsi="Arial" w:eastAsia="Arial"/>
                <w:b w:val="0"/>
                <w:i w:val="0"/>
                <w:sz w:val="16"/>
              </w:rPr>
              <w:t>TLS protocol/cipher/certificate evidence</w:t>
            </w:r>
          </w:p>
        </w:tc>
      </w:tr>
    </w:tbl>
    <w:p/>
    <w:p>
      <w:r>
        <w:rPr>
          <w:rFonts w:ascii="Arial" w:hAnsi="Arial" w:eastAsia="Arial"/>
          <w:b w:val="0"/>
          <w:i w:val="0"/>
          <w:sz w:val="19"/>
        </w:rPr>
        <w:t>Generic scanners cannot validate all consent and RBAC business rules. For that reason, the security scope combines scanner output with custom negative tests using approved test identities.</w:t>
      </w:r>
    </w:p>
    <w:p>
      <w:pPr>
        <w:pStyle w:val="Heading3"/>
      </w:pPr>
      <w:r>
        <w:t>9.2 Authentication and Authorization Testing</w:t>
      </w:r>
    </w:p>
    <w:p>
      <w:r>
        <w:rPr>
          <w:rFonts w:ascii="Arial" w:hAnsi="Arial" w:eastAsia="Arial"/>
          <w:b w:val="0"/>
          <w:i w:val="0"/>
          <w:sz w:val="19"/>
        </w:rPr>
        <w:t>In scope:</w:t>
      </w:r>
    </w:p>
    <w:p>
      <w:pPr>
        <w:spacing w:after="40"/>
      </w:pPr>
      <w:r>
        <w:rPr>
          <w:rFonts w:ascii="Arial" w:hAnsi="Arial" w:eastAsia="Arial"/>
          <w:b w:val="0"/>
          <w:i w:val="0"/>
          <w:sz w:val="18"/>
        </w:rPr>
        <w:t>- Unauthenticated API calls.</w:t>
      </w:r>
    </w:p>
    <w:p>
      <w:pPr>
        <w:spacing w:after="40"/>
      </w:pPr>
      <w:r>
        <w:rPr>
          <w:rFonts w:ascii="Arial" w:hAnsi="Arial" w:eastAsia="Arial"/>
          <w:b w:val="0"/>
          <w:i w:val="0"/>
          <w:sz w:val="18"/>
        </w:rPr>
        <w:t>- Expired JWT token behavior.</w:t>
      </w:r>
    </w:p>
    <w:p>
      <w:pPr>
        <w:spacing w:after="40"/>
      </w:pPr>
      <w:r>
        <w:rPr>
          <w:rFonts w:ascii="Arial" w:hAnsi="Arial" w:eastAsia="Arial"/>
          <w:b w:val="0"/>
          <w:i w:val="0"/>
          <w:sz w:val="18"/>
        </w:rPr>
        <w:t>- Tampered JWT payloads.</w:t>
      </w:r>
    </w:p>
    <w:p>
      <w:pPr>
        <w:spacing w:after="40"/>
      </w:pPr>
      <w:r>
        <w:rPr>
          <w:rFonts w:ascii="Arial" w:hAnsi="Arial" w:eastAsia="Arial"/>
          <w:b w:val="0"/>
          <w:i w:val="0"/>
          <w:sz w:val="18"/>
        </w:rPr>
        <w:t>- Role misuse across Admin, Doctor, and Patient actions.</w:t>
      </w:r>
    </w:p>
    <w:p>
      <w:pPr>
        <w:spacing w:after="40"/>
      </w:pPr>
      <w:r>
        <w:rPr>
          <w:rFonts w:ascii="Arial" w:hAnsi="Arial" w:eastAsia="Arial"/>
          <w:b w:val="0"/>
          <w:i w:val="0"/>
          <w:sz w:val="18"/>
        </w:rPr>
        <w:t>- Doctor attempting Admin-only operations.</w:t>
      </w:r>
    </w:p>
    <w:p>
      <w:pPr>
        <w:spacing w:after="40"/>
      </w:pPr>
      <w:r>
        <w:rPr>
          <w:rFonts w:ascii="Arial" w:hAnsi="Arial" w:eastAsia="Arial"/>
          <w:b w:val="0"/>
          <w:i w:val="0"/>
          <w:sz w:val="18"/>
        </w:rPr>
        <w:t>- Patient attempting Doctor-only operations.</w:t>
      </w:r>
    </w:p>
    <w:p>
      <w:pPr>
        <w:spacing w:after="40"/>
      </w:pPr>
      <w:r>
        <w:rPr>
          <w:rFonts w:ascii="Arial" w:hAnsi="Arial" w:eastAsia="Arial"/>
          <w:b w:val="0"/>
          <w:i w:val="0"/>
          <w:sz w:val="18"/>
        </w:rPr>
        <w:t>- Cross-organization identity misuse.</w:t>
      </w:r>
    </w:p>
    <w:p>
      <w:pPr>
        <w:spacing w:after="40"/>
      </w:pPr>
      <w:r>
        <w:rPr>
          <w:rFonts w:ascii="Arial" w:hAnsi="Arial" w:eastAsia="Arial"/>
          <w:b w:val="0"/>
          <w:i w:val="0"/>
          <w:sz w:val="18"/>
        </w:rPr>
        <w:t>- Chaincode MSP identity enforcement.</w:t>
      </w:r>
    </w:p>
    <w:p>
      <w:r>
        <w:rPr>
          <w:rFonts w:ascii="Arial" w:hAnsi="Arial" w:eastAsia="Arial"/>
          <w:b w:val="0"/>
          <w:i w:val="0"/>
          <w:sz w:val="19"/>
        </w:rPr>
        <w:t>Proposed tools:</w:t>
      </w:r>
    </w:p>
    <w:p>
      <w:pPr>
        <w:spacing w:after="40"/>
      </w:pPr>
      <w:r>
        <w:rPr>
          <w:rFonts w:ascii="Arial" w:hAnsi="Arial" w:eastAsia="Arial"/>
          <w:b w:val="0"/>
          <w:i w:val="0"/>
          <w:sz w:val="18"/>
        </w:rPr>
        <w:t>- curl or scripted HTTP clients for API-level tests.</w:t>
      </w:r>
    </w:p>
    <w:p>
      <w:pPr>
        <w:spacing w:after="40"/>
      </w:pPr>
      <w:r>
        <w:rPr>
          <w:rFonts w:ascii="Arial" w:hAnsi="Arial" w:eastAsia="Arial"/>
          <w:b w:val="0"/>
          <w:i w:val="0"/>
          <w:sz w:val="18"/>
        </w:rPr>
        <w:t>- Fabric peer CLI or SDK scripts for chaincode-level role tests.</w:t>
      </w:r>
    </w:p>
    <w:p>
      <w:pPr>
        <w:spacing w:after="40"/>
      </w:pPr>
      <w:r>
        <w:rPr>
          <w:rFonts w:ascii="Arial" w:hAnsi="Arial" w:eastAsia="Arial"/>
          <w:b w:val="0"/>
          <w:i w:val="0"/>
          <w:sz w:val="18"/>
        </w:rPr>
        <w:t>- JWT inspection tooling used locally for constructing negative test cases.</w:t>
      </w:r>
    </w:p>
    <w:p>
      <w:pPr>
        <w:pStyle w:val="Heading3"/>
      </w:pPr>
      <w:r>
        <w:t>9.3 Consent and Access-Control Bypass Testing</w:t>
      </w:r>
    </w:p>
    <w:p>
      <w:r>
        <w:rPr>
          <w:rFonts w:ascii="Arial" w:hAnsi="Arial" w:eastAsia="Arial"/>
          <w:b w:val="0"/>
          <w:i w:val="0"/>
          <w:sz w:val="19"/>
        </w:rPr>
        <w:t>In scope:</w:t>
      </w:r>
    </w:p>
    <w:p>
      <w:pPr>
        <w:spacing w:after="40"/>
      </w:pPr>
      <w:r>
        <w:rPr>
          <w:rFonts w:ascii="Arial" w:hAnsi="Arial" w:eastAsia="Arial"/>
          <w:b w:val="0"/>
          <w:i w:val="0"/>
          <w:sz w:val="18"/>
        </w:rPr>
        <w:t>- Access without consent.</w:t>
      </w:r>
    </w:p>
    <w:p>
      <w:pPr>
        <w:spacing w:after="40"/>
      </w:pPr>
      <w:r>
        <w:rPr>
          <w:rFonts w:ascii="Arial" w:hAnsi="Arial" w:eastAsia="Arial"/>
          <w:b w:val="0"/>
          <w:i w:val="0"/>
          <w:sz w:val="18"/>
        </w:rPr>
        <w:t>- Patient consent before admin approval.</w:t>
      </w:r>
    </w:p>
    <w:p>
      <w:pPr>
        <w:spacing w:after="40"/>
      </w:pPr>
      <w:r>
        <w:rPr>
          <w:rFonts w:ascii="Arial" w:hAnsi="Arial" w:eastAsia="Arial"/>
          <w:b w:val="0"/>
          <w:i w:val="0"/>
          <w:sz w:val="18"/>
        </w:rPr>
        <w:t>- Duplicate/replayed consent transaction attempts.</w:t>
      </w:r>
    </w:p>
    <w:p>
      <w:pPr>
        <w:spacing w:after="40"/>
      </w:pPr>
      <w:r>
        <w:rPr>
          <w:rFonts w:ascii="Arial" w:hAnsi="Arial" w:eastAsia="Arial"/>
          <w:b w:val="0"/>
          <w:i w:val="0"/>
          <w:sz w:val="18"/>
        </w:rPr>
        <w:t>- Access after rejection or revocation.</w:t>
      </w:r>
    </w:p>
    <w:p>
      <w:pPr>
        <w:spacing w:after="40"/>
      </w:pPr>
      <w:r>
        <w:rPr>
          <w:rFonts w:ascii="Arial" w:hAnsi="Arial" w:eastAsia="Arial"/>
          <w:b w:val="0"/>
          <w:i w:val="0"/>
          <w:sz w:val="18"/>
        </w:rPr>
        <w:t>- Verification that final access requires both admin approval and patient consent.</w:t>
      </w:r>
    </w:p>
    <w:p>
      <w:r>
        <w:rPr>
          <w:rFonts w:ascii="Arial" w:hAnsi="Arial" w:eastAsia="Arial"/>
          <w:b w:val="0"/>
          <w:i w:val="0"/>
          <w:sz w:val="19"/>
        </w:rPr>
        <w:t>Proposed tools:</w:t>
      </w:r>
    </w:p>
    <w:p>
      <w:pPr>
        <w:spacing w:after="40"/>
      </w:pPr>
      <w:r>
        <w:rPr>
          <w:rFonts w:ascii="Arial" w:hAnsi="Arial" w:eastAsia="Arial"/>
          <w:b w:val="0"/>
          <w:i w:val="0"/>
          <w:sz w:val="18"/>
        </w:rPr>
        <w:t>- Fabric peer CLI/Fabric SDK scripts.</w:t>
      </w:r>
    </w:p>
    <w:p>
      <w:pPr>
        <w:spacing w:after="40"/>
      </w:pPr>
      <w:r>
        <w:rPr>
          <w:rFonts w:ascii="Arial" w:hAnsi="Arial" w:eastAsia="Arial"/>
          <w:b w:val="0"/>
          <w:i w:val="0"/>
          <w:sz w:val="18"/>
        </w:rPr>
        <w:t>- API-level negative tests using curl/Jest/k6.</w:t>
      </w:r>
    </w:p>
    <w:p>
      <w:pPr>
        <w:spacing w:after="40"/>
      </w:pPr>
      <w:r>
        <w:rPr>
          <w:rFonts w:ascii="Arial" w:hAnsi="Arial" w:eastAsia="Arial"/>
          <w:b w:val="0"/>
          <w:i w:val="0"/>
          <w:sz w:val="18"/>
        </w:rPr>
        <w:t>- Ledger queries for state and transaction evidence.</w:t>
      </w:r>
    </w:p>
    <w:p>
      <w:pPr>
        <w:pStyle w:val="Heading3"/>
      </w:pPr>
      <w:r>
        <w:t>9.4 API and Web Application Security Testing</w:t>
      </w:r>
    </w:p>
    <w:p>
      <w:r>
        <w:rPr>
          <w:rFonts w:ascii="Arial" w:hAnsi="Arial" w:eastAsia="Arial"/>
          <w:b w:val="0"/>
          <w:i w:val="0"/>
          <w:sz w:val="19"/>
        </w:rPr>
        <w:t>In scope:</w:t>
      </w:r>
    </w:p>
    <w:p>
      <w:pPr>
        <w:spacing w:after="40"/>
      </w:pPr>
      <w:r>
        <w:rPr>
          <w:rFonts w:ascii="Arial" w:hAnsi="Arial" w:eastAsia="Arial"/>
          <w:b w:val="0"/>
          <w:i w:val="0"/>
          <w:sz w:val="18"/>
        </w:rPr>
        <w:t>- Passive and active web/API scanning in the approved test environment.</w:t>
      </w:r>
    </w:p>
    <w:p>
      <w:pPr>
        <w:spacing w:after="40"/>
      </w:pPr>
      <w:r>
        <w:rPr>
          <w:rFonts w:ascii="Arial" w:hAnsi="Arial" w:eastAsia="Arial"/>
          <w:b w:val="0"/>
          <w:i w:val="0"/>
          <w:sz w:val="18"/>
        </w:rPr>
        <w:t>- Common HTTP security header checks.</w:t>
      </w:r>
    </w:p>
    <w:p>
      <w:pPr>
        <w:spacing w:after="40"/>
      </w:pPr>
      <w:r>
        <w:rPr>
          <w:rFonts w:ascii="Arial" w:hAnsi="Arial" w:eastAsia="Arial"/>
          <w:b w:val="0"/>
          <w:i w:val="0"/>
          <w:sz w:val="18"/>
        </w:rPr>
        <w:t>- Authentication boundary checks.</w:t>
      </w:r>
    </w:p>
    <w:p>
      <w:pPr>
        <w:spacing w:after="40"/>
      </w:pPr>
      <w:r>
        <w:rPr>
          <w:rFonts w:ascii="Arial" w:hAnsi="Arial" w:eastAsia="Arial"/>
          <w:b w:val="0"/>
          <w:i w:val="0"/>
          <w:sz w:val="18"/>
        </w:rPr>
        <w:t>- Input validation probes for exposed API endpoints.</w:t>
      </w:r>
    </w:p>
    <w:p>
      <w:pPr>
        <w:spacing w:after="40"/>
      </w:pPr>
      <w:r>
        <w:rPr>
          <w:rFonts w:ascii="Arial" w:hAnsi="Arial" w:eastAsia="Arial"/>
          <w:b w:val="0"/>
          <w:i w:val="0"/>
          <w:sz w:val="18"/>
        </w:rPr>
        <w:t>- Session handling checks.</w:t>
      </w:r>
    </w:p>
    <w:p>
      <w:r>
        <w:rPr>
          <w:rFonts w:ascii="Arial" w:hAnsi="Arial" w:eastAsia="Arial"/>
          <w:b w:val="0"/>
          <w:i w:val="0"/>
          <w:sz w:val="19"/>
        </w:rPr>
        <w:t>Proposed tools:</w:t>
      </w:r>
    </w:p>
    <w:p>
      <w:pPr>
        <w:spacing w:after="40"/>
      </w:pPr>
      <w:r>
        <w:rPr>
          <w:rFonts w:ascii="Arial" w:hAnsi="Arial" w:eastAsia="Arial"/>
          <w:b w:val="0"/>
          <w:i w:val="0"/>
          <w:sz w:val="18"/>
        </w:rPr>
        <w:t>- OWASP ZAP baseline scan for passive CI-safe scanning.</w:t>
      </w:r>
    </w:p>
    <w:p>
      <w:pPr>
        <w:spacing w:after="40"/>
      </w:pPr>
      <w:r>
        <w:rPr>
          <w:rFonts w:ascii="Arial" w:hAnsi="Arial" w:eastAsia="Arial"/>
          <w:b w:val="0"/>
          <w:i w:val="0"/>
          <w:sz w:val="18"/>
        </w:rPr>
        <w:t>- OWASP ZAP full/API scan only against authorized non-production targets.</w:t>
      </w:r>
    </w:p>
    <w:p>
      <w:pPr>
        <w:spacing w:after="40"/>
      </w:pPr>
      <w:r>
        <w:rPr>
          <w:rFonts w:ascii="Arial" w:hAnsi="Arial" w:eastAsia="Arial"/>
          <w:b w:val="0"/>
          <w:i w:val="0"/>
          <w:sz w:val="18"/>
        </w:rPr>
        <w:t>- curl/Jest custom negative tests for business-logic cases that generic scanners cannot understand.</w:t>
      </w:r>
    </w:p>
    <w:p>
      <w:pPr>
        <w:pStyle w:val="Heading3"/>
      </w:pPr>
      <w:r>
        <w:t>9.5 Environment Configuration Review</w:t>
      </w:r>
    </w:p>
    <w:p>
      <w:r>
        <w:rPr>
          <w:rFonts w:ascii="Arial" w:hAnsi="Arial" w:eastAsia="Arial"/>
          <w:b w:val="0"/>
          <w:i w:val="0"/>
          <w:sz w:val="19"/>
        </w:rPr>
        <w:t>In scope:</w:t>
      </w:r>
    </w:p>
    <w:p>
      <w:pPr>
        <w:spacing w:after="40"/>
      </w:pPr>
      <w:r>
        <w:rPr>
          <w:rFonts w:ascii="Arial" w:hAnsi="Arial" w:eastAsia="Arial"/>
          <w:b w:val="0"/>
          <w:i w:val="0"/>
          <w:sz w:val="18"/>
        </w:rPr>
        <w:t>- Review Docker Compose and Kubernetes configuration files where they are provided.</w:t>
      </w:r>
    </w:p>
    <w:p>
      <w:pPr>
        <w:spacing w:after="40"/>
      </w:pPr>
      <w:r>
        <w:rPr>
          <w:rFonts w:ascii="Arial" w:hAnsi="Arial" w:eastAsia="Arial"/>
          <w:b w:val="0"/>
          <w:i w:val="0"/>
          <w:sz w:val="18"/>
        </w:rPr>
        <w:t>- Confirm whether resource limits, TLS settings, exposed ports, and environment variable handling are suitable for the test environment.</w:t>
      </w:r>
    </w:p>
    <w:p>
      <w:pPr>
        <w:spacing w:after="40"/>
      </w:pPr>
      <w:r>
        <w:rPr>
          <w:rFonts w:ascii="Arial" w:hAnsi="Arial" w:eastAsia="Arial"/>
          <w:b w:val="0"/>
          <w:i w:val="0"/>
          <w:sz w:val="18"/>
        </w:rPr>
        <w:t>- Record configuration gaps as findings where they affect security, reproducibility, or scalability testing.</w:t>
      </w:r>
    </w:p>
    <w:p>
      <w:r>
        <w:rPr>
          <w:rFonts w:ascii="Arial" w:hAnsi="Arial" w:eastAsia="Arial"/>
          <w:b w:val="0"/>
          <w:i w:val="0"/>
          <w:sz w:val="19"/>
        </w:rPr>
        <w:t>Proposed tools:</w:t>
      </w:r>
    </w:p>
    <w:p>
      <w:pPr>
        <w:spacing w:after="40"/>
      </w:pPr>
      <w:r>
        <w:rPr>
          <w:rFonts w:ascii="Arial" w:hAnsi="Arial" w:eastAsia="Arial"/>
          <w:b w:val="0"/>
          <w:i w:val="0"/>
          <w:sz w:val="18"/>
        </w:rPr>
        <w:t>- Manual configuration review.</w:t>
      </w:r>
    </w:p>
    <w:p>
      <w:pPr>
        <w:spacing w:after="40"/>
      </w:pPr>
      <w:r>
        <w:rPr>
          <w:rFonts w:ascii="Arial" w:hAnsi="Arial" w:eastAsia="Arial"/>
          <w:b w:val="0"/>
          <w:i w:val="0"/>
          <w:sz w:val="18"/>
        </w:rPr>
        <w:t>- Docker Compose inspection commands.</w:t>
      </w:r>
    </w:p>
    <w:p>
      <w:pPr>
        <w:spacing w:after="40"/>
      </w:pPr>
      <w:r>
        <w:rPr>
          <w:rFonts w:ascii="Arial" w:hAnsi="Arial" w:eastAsia="Arial"/>
          <w:b w:val="0"/>
          <w:i w:val="0"/>
          <w:sz w:val="18"/>
        </w:rPr>
        <w:t>- Kubernetes inspection commands where a Kubernetes environment is provided.</w:t>
      </w:r>
    </w:p>
    <w:p>
      <w:pPr>
        <w:pStyle w:val="Heading3"/>
      </w:pPr>
      <w:r>
        <w:t>9.6 TLS and Transport Security Testing</w:t>
      </w:r>
    </w:p>
    <w:p>
      <w:r>
        <w:rPr>
          <w:rFonts w:ascii="Arial" w:hAnsi="Arial" w:eastAsia="Arial"/>
          <w:b w:val="0"/>
          <w:i w:val="0"/>
          <w:sz w:val="19"/>
        </w:rPr>
        <w:t>In scope:</w:t>
      </w:r>
    </w:p>
    <w:p>
      <w:pPr>
        <w:spacing w:after="40"/>
      </w:pPr>
      <w:r>
        <w:rPr>
          <w:rFonts w:ascii="Arial" w:hAnsi="Arial" w:eastAsia="Arial"/>
          <w:b w:val="0"/>
          <w:i w:val="0"/>
          <w:sz w:val="18"/>
        </w:rPr>
        <w:t>- Verify TLS/mTLS configuration for exposed endpoints and Fabric network components where accessible.</w:t>
      </w:r>
    </w:p>
    <w:p>
      <w:pPr>
        <w:spacing w:after="40"/>
      </w:pPr>
      <w:r>
        <w:rPr>
          <w:rFonts w:ascii="Arial" w:hAnsi="Arial" w:eastAsia="Arial"/>
          <w:b w:val="0"/>
          <w:i w:val="0"/>
          <w:sz w:val="18"/>
        </w:rPr>
        <w:t>- Check certificate validity, protocol versions, weak cipher exposure, and certificate chain configuration.</w:t>
      </w:r>
    </w:p>
    <w:p>
      <w:r>
        <w:rPr>
          <w:rFonts w:ascii="Arial" w:hAnsi="Arial" w:eastAsia="Arial"/>
          <w:b w:val="0"/>
          <w:i w:val="0"/>
          <w:sz w:val="19"/>
        </w:rPr>
        <w:t>Proposed tools:</w:t>
      </w:r>
    </w:p>
    <w:p>
      <w:pPr>
        <w:spacing w:after="40"/>
      </w:pPr>
      <w:r>
        <w:rPr>
          <w:rFonts w:ascii="Arial" w:hAnsi="Arial" w:eastAsia="Arial"/>
          <w:b w:val="0"/>
          <w:i w:val="0"/>
          <w:sz w:val="18"/>
        </w:rPr>
        <w:t xml:space="preserve">- OpenSSL </w:t>
      </w:r>
      <w:r>
        <w:rPr>
          <w:rFonts w:ascii="Consolas" w:hAnsi="Consolas" w:eastAsia="Consolas"/>
          <w:b w:val="0"/>
          <w:i w:val="0"/>
          <w:sz w:val="18"/>
        </w:rPr>
        <w:t>s_client</w:t>
      </w:r>
      <w:r>
        <w:rPr>
          <w:rFonts w:ascii="Arial" w:hAnsi="Arial" w:eastAsia="Arial"/>
          <w:b w:val="0"/>
          <w:i w:val="0"/>
          <w:sz w:val="18"/>
        </w:rPr>
        <w:t>.</w:t>
      </w:r>
    </w:p>
    <w:p>
      <w:pPr>
        <w:spacing w:after="40"/>
      </w:pPr>
      <w:r>
        <w:rPr>
          <w:rFonts w:ascii="Arial" w:hAnsi="Arial" w:eastAsia="Arial"/>
          <w:b w:val="0"/>
          <w:i w:val="0"/>
          <w:sz w:val="18"/>
        </w:rPr>
        <w:t>- Fabric connection profile review.</w:t>
      </w:r>
    </w:p>
    <w:p>
      <w:pPr>
        <w:pStyle w:val="Heading3"/>
      </w:pPr>
      <w:r>
        <w:t>9.7 Security Testing Exclusions</w:t>
      </w:r>
    </w:p>
    <w:p>
      <w:r>
        <w:rPr>
          <w:rFonts w:ascii="Arial" w:hAnsi="Arial" w:eastAsia="Arial"/>
          <w:b w:val="0"/>
          <w:i w:val="0"/>
          <w:sz w:val="19"/>
        </w:rPr>
        <w:t>Out of scope unless separately authorized:</w:t>
      </w:r>
    </w:p>
    <w:p>
      <w:pPr>
        <w:spacing w:after="40"/>
      </w:pPr>
      <w:r>
        <w:rPr>
          <w:rFonts w:ascii="Arial" w:hAnsi="Arial" w:eastAsia="Arial"/>
          <w:b w:val="0"/>
          <w:i w:val="0"/>
          <w:sz w:val="18"/>
        </w:rPr>
        <w:t>- Testing against production systems.</w:t>
      </w:r>
    </w:p>
    <w:p>
      <w:pPr>
        <w:spacing w:after="40"/>
      </w:pPr>
      <w:r>
        <w:rPr>
          <w:rFonts w:ascii="Arial" w:hAnsi="Arial" w:eastAsia="Arial"/>
          <w:b w:val="0"/>
          <w:i w:val="0"/>
          <w:sz w:val="18"/>
        </w:rPr>
        <w:t>- Destructive denial-of-service testing.</w:t>
      </w:r>
    </w:p>
    <w:p>
      <w:pPr>
        <w:spacing w:after="40"/>
      </w:pPr>
      <w:r>
        <w:rPr>
          <w:rFonts w:ascii="Arial" w:hAnsi="Arial" w:eastAsia="Arial"/>
          <w:b w:val="0"/>
          <w:i w:val="0"/>
          <w:sz w:val="18"/>
        </w:rPr>
        <w:t>- Social engineering.</w:t>
      </w:r>
    </w:p>
    <w:p>
      <w:pPr>
        <w:spacing w:after="40"/>
      </w:pPr>
      <w:r>
        <w:rPr>
          <w:rFonts w:ascii="Arial" w:hAnsi="Arial" w:eastAsia="Arial"/>
          <w:b w:val="0"/>
          <w:i w:val="0"/>
          <w:sz w:val="18"/>
        </w:rPr>
        <w:t>- Physical security testing.</w:t>
      </w:r>
    </w:p>
    <w:p>
      <w:pPr>
        <w:spacing w:after="40"/>
      </w:pPr>
      <w:r>
        <w:rPr>
          <w:rFonts w:ascii="Arial" w:hAnsi="Arial" w:eastAsia="Arial"/>
          <w:b w:val="0"/>
          <w:i w:val="0"/>
          <w:sz w:val="18"/>
        </w:rPr>
        <w:t>- Credential theft or phishing.</w:t>
      </w:r>
    </w:p>
    <w:p>
      <w:pPr>
        <w:spacing w:after="40"/>
      </w:pPr>
      <w:r>
        <w:rPr>
          <w:rFonts w:ascii="Arial" w:hAnsi="Arial" w:eastAsia="Arial"/>
          <w:b w:val="0"/>
          <w:i w:val="0"/>
          <w:sz w:val="18"/>
        </w:rPr>
        <w:t>- Exploit development beyond proof-of-observation required for reporting.</w:t>
      </w:r>
    </w:p>
    <w:p>
      <w:pPr>
        <w:spacing w:after="40"/>
      </w:pPr>
      <w:r>
        <w:rPr>
          <w:rFonts w:ascii="Arial" w:hAnsi="Arial" w:eastAsia="Arial"/>
          <w:b w:val="0"/>
          <w:i w:val="0"/>
          <w:sz w:val="18"/>
        </w:rPr>
        <w:t>- Remediation of vulnerabilities.</w:t>
      </w:r>
    </w:p>
    <w:p>
      <w:pPr>
        <w:pStyle w:val="Heading1"/>
      </w:pPr>
      <w:r>
        <w:t>10. Performance Benchmarking Scope</w:t>
      </w:r>
    </w:p>
    <w:p>
      <w:r>
        <w:rPr>
          <w:rFonts w:ascii="Arial" w:hAnsi="Arial" w:eastAsia="Arial"/>
          <w:b w:val="0"/>
          <w:i w:val="0"/>
          <w:sz w:val="19"/>
        </w:rPr>
        <w:t>Performance testing will produce reproducible raw data for the required benchmark scenarios.</w:t>
      </w:r>
    </w:p>
    <w:p>
      <w:r>
        <w:rPr>
          <w:rFonts w:ascii="Arial" w:hAnsi="Arial" w:eastAsia="Arial"/>
          <w:b w:val="0"/>
          <w:i w:val="0"/>
          <w:sz w:val="19"/>
        </w:rPr>
        <w:t>In scope:</w:t>
      </w:r>
    </w:p>
    <w:p>
      <w:pPr>
        <w:spacing w:after="40"/>
      </w:pPr>
      <w:r>
        <w:rPr>
          <w:rFonts w:ascii="Arial" w:hAnsi="Arial" w:eastAsia="Arial"/>
          <w:b w:val="0"/>
          <w:i w:val="0"/>
          <w:sz w:val="18"/>
        </w:rPr>
        <w:t xml:space="preserve">- Extended 300/500 TX benchmarks for </w:t>
      </w:r>
      <w:r>
        <w:rPr>
          <w:rFonts w:ascii="Consolas" w:hAnsi="Consolas" w:eastAsia="Consolas"/>
          <w:b w:val="0"/>
          <w:i w:val="0"/>
          <w:sz w:val="18"/>
        </w:rPr>
        <w:t>readPatient</w:t>
      </w:r>
      <w:r>
        <w:rPr>
          <w:rFonts w:ascii="Arial" w:hAnsi="Arial" w:eastAsia="Arial"/>
          <w:b w:val="0"/>
          <w:i w:val="0"/>
          <w:sz w:val="18"/>
        </w:rPr>
        <w:t xml:space="preserve">, </w:t>
      </w:r>
      <w:r>
        <w:rPr>
          <w:rFonts w:ascii="Consolas" w:hAnsi="Consolas" w:eastAsia="Consolas"/>
          <w:b w:val="0"/>
          <w:i w:val="0"/>
          <w:sz w:val="18"/>
        </w:rPr>
        <w:t>addPatient</w:t>
      </w:r>
      <w:r>
        <w:rPr>
          <w:rFonts w:ascii="Arial" w:hAnsi="Arial" w:eastAsia="Arial"/>
          <w:b w:val="0"/>
          <w:i w:val="0"/>
          <w:sz w:val="18"/>
        </w:rPr>
        <w:t xml:space="preserve">, and </w:t>
      </w:r>
      <w:r>
        <w:rPr>
          <w:rFonts w:ascii="Consolas" w:hAnsi="Consolas" w:eastAsia="Consolas"/>
          <w:b w:val="0"/>
          <w:i w:val="0"/>
          <w:sz w:val="18"/>
        </w:rPr>
        <w:t>deletePatient</w:t>
      </w:r>
      <w:r>
        <w:rPr>
          <w:rFonts w:ascii="Arial" w:hAnsi="Arial" w:eastAsia="Arial"/>
          <w:b w:val="0"/>
          <w:i w:val="0"/>
          <w:sz w:val="18"/>
        </w:rPr>
        <w:t>.</w:t>
      </w:r>
    </w:p>
    <w:p>
      <w:pPr>
        <w:spacing w:after="40"/>
      </w:pPr>
      <w:r>
        <w:rPr>
          <w:rFonts w:ascii="Arial" w:hAnsi="Arial" w:eastAsia="Arial"/>
          <w:b w:val="0"/>
          <w:i w:val="0"/>
          <w:sz w:val="18"/>
        </w:rPr>
        <w:t xml:space="preserve">- Consent workflow benchmarks for </w:t>
      </w:r>
      <w:r>
        <w:rPr>
          <w:rFonts w:ascii="Consolas" w:hAnsi="Consolas" w:eastAsia="Consolas"/>
          <w:b w:val="0"/>
          <w:i w:val="0"/>
          <w:sz w:val="18"/>
        </w:rPr>
        <w:t>RequestDataAccess</w:t>
      </w:r>
      <w:r>
        <w:rPr>
          <w:rFonts w:ascii="Arial" w:hAnsi="Arial" w:eastAsia="Arial"/>
          <w:b w:val="0"/>
          <w:i w:val="0"/>
          <w:sz w:val="18"/>
        </w:rPr>
        <w:t xml:space="preserve">, </w:t>
      </w:r>
      <w:r>
        <w:rPr>
          <w:rFonts w:ascii="Consolas" w:hAnsi="Consolas" w:eastAsia="Consolas"/>
          <w:b w:val="0"/>
          <w:i w:val="0"/>
          <w:sz w:val="18"/>
        </w:rPr>
        <w:t>ApproveRequest</w:t>
      </w:r>
      <w:r>
        <w:rPr>
          <w:rFonts w:ascii="Arial" w:hAnsi="Arial" w:eastAsia="Arial"/>
          <w:b w:val="0"/>
          <w:i w:val="0"/>
          <w:sz w:val="18"/>
        </w:rPr>
        <w:t xml:space="preserve">, </w:t>
      </w:r>
      <w:r>
        <w:rPr>
          <w:rFonts w:ascii="Consolas" w:hAnsi="Consolas" w:eastAsia="Consolas"/>
          <w:b w:val="0"/>
          <w:i w:val="0"/>
          <w:sz w:val="18"/>
        </w:rPr>
        <w:t>ProvideConsent</w:t>
      </w:r>
      <w:r>
        <w:rPr>
          <w:rFonts w:ascii="Arial" w:hAnsi="Arial" w:eastAsia="Arial"/>
          <w:b w:val="0"/>
          <w:i w:val="0"/>
          <w:sz w:val="18"/>
        </w:rPr>
        <w:t>, and mixed read/write/consent load.</w:t>
      </w:r>
    </w:p>
    <w:p>
      <w:pPr>
        <w:spacing w:after="40"/>
      </w:pPr>
      <w:r>
        <w:rPr>
          <w:rFonts w:ascii="Arial" w:hAnsi="Arial" w:eastAsia="Arial"/>
          <w:b w:val="0"/>
          <w:i w:val="0"/>
          <w:sz w:val="18"/>
        </w:rPr>
        <w:t>- Success/failure counts, throughput, average/min/max latency, p50/p95 latency, and success rate.</w:t>
      </w:r>
    </w:p>
    <w:p>
      <w:pPr>
        <w:spacing w:after="40"/>
      </w:pPr>
      <w:r>
        <w:rPr>
          <w:rFonts w:ascii="Arial" w:hAnsi="Arial" w:eastAsia="Arial"/>
          <w:b w:val="0"/>
          <w:i w:val="0"/>
          <w:sz w:val="18"/>
        </w:rPr>
        <w:t>- Docker/container resource usage during peak test windows.</w:t>
      </w:r>
    </w:p>
    <w:p>
      <w:pPr>
        <w:spacing w:after="40"/>
      </w:pPr>
      <w:r>
        <w:rPr>
          <w:rFonts w:ascii="Arial" w:hAnsi="Arial" w:eastAsia="Arial"/>
          <w:b w:val="0"/>
          <w:i w:val="0"/>
          <w:sz w:val="18"/>
        </w:rPr>
        <w:t>- Written analysis explaining observed throughput and latency behavior.</w:t>
      </w:r>
    </w:p>
    <w:p>
      <w:r>
        <w:rPr>
          <w:rFonts w:ascii="Arial" w:hAnsi="Arial" w:eastAsia="Arial"/>
          <w:b w:val="0"/>
          <w:i w:val="0"/>
          <w:sz w:val="19"/>
        </w:rPr>
        <w:t>Proposed tools:</w:t>
      </w:r>
    </w:p>
    <w:p>
      <w:pPr>
        <w:spacing w:after="40"/>
      </w:pPr>
      <w:r>
        <w:rPr>
          <w:rFonts w:ascii="Arial" w:hAnsi="Arial" w:eastAsia="Arial"/>
          <w:b w:val="0"/>
          <w:i w:val="0"/>
          <w:sz w:val="18"/>
        </w:rPr>
        <w:t>- Hyperledger Caliper as the primary blockchain benchmarking tool.</w:t>
      </w:r>
    </w:p>
    <w:p>
      <w:pPr>
        <w:spacing w:after="40"/>
      </w:pPr>
      <w:r>
        <w:rPr>
          <w:rFonts w:ascii="Arial" w:hAnsi="Arial" w:eastAsia="Arial"/>
          <w:b w:val="0"/>
          <w:i w:val="0"/>
          <w:sz w:val="18"/>
        </w:rPr>
        <w:t>- k6 for REST API gateway performance testing where measuring API-layer behavior is required.</w:t>
      </w:r>
    </w:p>
    <w:p>
      <w:pPr>
        <w:spacing w:after="40"/>
      </w:pPr>
      <w:r>
        <w:rPr>
          <w:rFonts w:ascii="Arial" w:hAnsi="Arial" w:eastAsia="Arial"/>
          <w:b w:val="0"/>
          <w:i w:val="0"/>
          <w:sz w:val="18"/>
        </w:rPr>
        <w:t>- Docker stats for container resource capture in Docker Compose environments.</w:t>
      </w:r>
    </w:p>
    <w:p>
      <w:pPr>
        <w:spacing w:after="40"/>
      </w:pPr>
      <w:r>
        <w:rPr>
          <w:rFonts w:ascii="Arial" w:hAnsi="Arial" w:eastAsia="Arial"/>
          <w:b w:val="0"/>
          <w:i w:val="0"/>
          <w:sz w:val="18"/>
        </w:rPr>
        <w:t xml:space="preserve">- Kubernetes Metrics Server and </w:t>
      </w:r>
      <w:r>
        <w:rPr>
          <w:rFonts w:ascii="Consolas" w:hAnsi="Consolas" w:eastAsia="Consolas"/>
          <w:b w:val="0"/>
          <w:i w:val="0"/>
          <w:sz w:val="18"/>
        </w:rPr>
        <w:t>kubectl top</w:t>
      </w:r>
      <w:r>
        <w:rPr>
          <w:rFonts w:ascii="Arial" w:hAnsi="Arial" w:eastAsia="Arial"/>
          <w:b w:val="0"/>
          <w:i w:val="0"/>
          <w:sz w:val="18"/>
        </w:rPr>
        <w:t xml:space="preserve"> where a Kubernetes environment is provided.</w:t>
      </w:r>
    </w:p>
    <w:p>
      <w:r>
        <w:rPr>
          <w:rFonts w:ascii="Arial" w:hAnsi="Arial" w:eastAsia="Arial"/>
          <w:b w:val="0"/>
          <w:i w:val="0"/>
          <w:sz w:val="19"/>
        </w:rPr>
        <w:t>Prerequisites:</w:t>
      </w:r>
    </w:p>
    <w:p>
      <w:pPr>
        <w:spacing w:after="40"/>
      </w:pPr>
      <w:r>
        <w:rPr>
          <w:rFonts w:ascii="Arial" w:hAnsi="Arial" w:eastAsia="Arial"/>
          <w:b w:val="0"/>
          <w:i w:val="0"/>
          <w:sz w:val="18"/>
        </w:rPr>
        <w:t>- Stable test dataset.</w:t>
      </w:r>
    </w:p>
    <w:p>
      <w:pPr>
        <w:spacing w:after="40"/>
      </w:pPr>
      <w:r>
        <w:rPr>
          <w:rFonts w:ascii="Arial" w:hAnsi="Arial" w:eastAsia="Arial"/>
          <w:b w:val="0"/>
          <w:i w:val="0"/>
          <w:sz w:val="18"/>
        </w:rPr>
        <w:t>- Fabric network connection profile.</w:t>
      </w:r>
    </w:p>
    <w:p>
      <w:pPr>
        <w:spacing w:after="40"/>
      </w:pPr>
      <w:r>
        <w:rPr>
          <w:rFonts w:ascii="Arial" w:hAnsi="Arial" w:eastAsia="Arial"/>
          <w:b w:val="0"/>
          <w:i w:val="0"/>
          <w:sz w:val="18"/>
        </w:rPr>
        <w:t>- Workload modules for the six canonical dental workloads.</w:t>
      </w:r>
    </w:p>
    <w:p>
      <w:pPr>
        <w:spacing w:after="40"/>
      </w:pPr>
      <w:r>
        <w:rPr>
          <w:rFonts w:ascii="Arial" w:hAnsi="Arial" w:eastAsia="Arial"/>
          <w:b w:val="0"/>
          <w:i w:val="0"/>
          <w:sz w:val="18"/>
        </w:rPr>
        <w:t>- Agreement on warm-up period, send rate, rounds, and failure thresholds.</w:t>
      </w:r>
    </w:p>
    <w:p>
      <w:pPr>
        <w:spacing w:after="40"/>
      </w:pPr>
      <w:r>
        <w:rPr>
          <w:rFonts w:ascii="Arial" w:hAnsi="Arial" w:eastAsia="Arial"/>
          <w:b w:val="0"/>
          <w:i w:val="0"/>
          <w:sz w:val="18"/>
        </w:rPr>
        <w:t>- Access to host/container metrics.</w:t>
      </w:r>
    </w:p>
    <w:p>
      <w:r>
        <w:rPr>
          <w:rFonts w:ascii="Arial" w:hAnsi="Arial" w:eastAsia="Arial"/>
          <w:b w:val="0"/>
          <w:i w:val="0"/>
          <w:sz w:val="19"/>
        </w:rPr>
        <w:t>Out of scope:</w:t>
      </w:r>
    </w:p>
    <w:p>
      <w:pPr>
        <w:spacing w:after="40"/>
      </w:pPr>
      <w:r>
        <w:rPr>
          <w:rFonts w:ascii="Arial" w:hAnsi="Arial" w:eastAsia="Arial"/>
          <w:b w:val="0"/>
          <w:i w:val="0"/>
          <w:sz w:val="18"/>
        </w:rPr>
        <w:t>- Performance tuning implementation.</w:t>
      </w:r>
    </w:p>
    <w:p>
      <w:pPr>
        <w:spacing w:after="40"/>
      </w:pPr>
      <w:r>
        <w:rPr>
          <w:rFonts w:ascii="Arial" w:hAnsi="Arial" w:eastAsia="Arial"/>
          <w:b w:val="0"/>
          <w:i w:val="0"/>
          <w:sz w:val="18"/>
        </w:rPr>
        <w:t>- Changing endorsement policy, block batching, database indexing, or caching unless separately contracted.</w:t>
      </w:r>
    </w:p>
    <w:p>
      <w:pPr>
        <w:spacing w:after="40"/>
      </w:pPr>
      <w:r>
        <w:rPr>
          <w:rFonts w:ascii="Arial" w:hAnsi="Arial" w:eastAsia="Arial"/>
          <w:b w:val="0"/>
          <w:i w:val="0"/>
          <w:sz w:val="18"/>
        </w:rPr>
        <w:t>- Provisioning production infrastructure.</w:t>
      </w:r>
    </w:p>
    <w:p>
      <w:pPr>
        <w:pStyle w:val="Heading1"/>
      </w:pPr>
      <w:r>
        <w:t>11. Horizontal Scaling and Environment Recommendation</w:t>
      </w:r>
    </w:p>
    <w:p>
      <w:r>
        <w:rPr>
          <w:rFonts w:ascii="Arial" w:hAnsi="Arial" w:eastAsia="Arial"/>
          <w:b w:val="0"/>
          <w:i w:val="0"/>
          <w:sz w:val="19"/>
        </w:rPr>
        <w:t>The SRS and testing deliverables require multi-clinic scalability evidence and discuss horizontal scaling. Docker Compose is useful for local orchestration and repeatable test-network startup, but it does not inherently provide production-grade autoscaling behavior, health-based rescheduling, Horizontal Pod Autoscaling, cluster resource scheduling, or metrics-driven scale-out.</w:t>
      </w:r>
    </w:p>
    <w:tbl>
      <w:tblPr>
        <w:tblW w:type="auto" w:w="0"/>
        <w:tblLayout w:type="autofit"/>
        <w:tblLook w:firstColumn="1" w:firstRow="1" w:lastColumn="0" w:lastRow="0" w:noHBand="0" w:noVBand="1" w:val="04A0"/>
      </w:tblPr>
      <w:tblGrid>
        <w:gridCol w:w="15420"/>
      </w:tblGrid>
      <w:tr>
        <w:tc>
          <w:tcPr>
            <w:tcW w:type="dxa" w:w="15420"/>
            <w:shd w:fill="EAF2F8"/>
            <w:tcMar>
              <w:top w:w="150" w:type="dxa"/>
              <w:start w:w="170" w:type="dxa"/>
              <w:bottom w:w="150" w:type="dxa"/>
              <w:end w:w="170" w:type="dxa"/>
            </w:tcMar>
          </w:tcPr>
          <w:p>
            <w:pPr>
              <w:spacing w:after="80"/>
            </w:pPr>
            <w:r>
              <w:rPr>
                <w:rFonts w:ascii="Arial" w:hAnsi="Arial" w:eastAsia="Arial"/>
                <w:b/>
                <w:i w:val="0"/>
                <w:color w:val="1F4E79"/>
                <w:sz w:val="21"/>
              </w:rPr>
              <w:t>Recommendation</w:t>
            </w:r>
          </w:p>
          <w:p>
            <w:pPr>
              <w:spacing w:after="0"/>
            </w:pPr>
            <w:r>
              <w:rPr>
                <w:rFonts w:ascii="Arial" w:hAnsi="Arial" w:eastAsia="Arial"/>
                <w:b w:val="0"/>
                <w:i w:val="0"/>
                <w:sz w:val="18"/>
              </w:rPr>
              <w:t>the project should provide an updated scalability testing environment based on Kubernetes or an equivalent container orchestration platform before claims about autoscaling or horizontal scaling are assessed.</w:t>
            </w:r>
          </w:p>
        </w:tc>
      </w:tr>
    </w:tbl>
    <w:p/>
    <w:p>
      <w:pPr>
        <w:pStyle w:val="Heading3"/>
      </w:pPr>
      <w:r>
        <w:t>11.1 Proposed Kubernetes-Based Scope</w:t>
      </w:r>
    </w:p>
    <w:p>
      <w:r>
        <w:rPr>
          <w:rFonts w:ascii="Arial" w:hAnsi="Arial" w:eastAsia="Arial"/>
          <w:b w:val="0"/>
          <w:i w:val="0"/>
          <w:sz w:val="19"/>
        </w:rPr>
        <w:t>The recommended scaling test bed should include:</w:t>
      </w:r>
    </w:p>
    <w:p>
      <w:pPr>
        <w:spacing w:after="40"/>
      </w:pPr>
      <w:r>
        <w:rPr>
          <w:rFonts w:ascii="Arial" w:hAnsi="Arial" w:eastAsia="Arial"/>
          <w:b w:val="0"/>
          <w:i w:val="0"/>
          <w:sz w:val="18"/>
        </w:rPr>
        <w:t>- Kubernetes deployments or StatefulSets for API services, web services, and supporting components where appropriate.</w:t>
      </w:r>
    </w:p>
    <w:p>
      <w:pPr>
        <w:spacing w:after="40"/>
      </w:pPr>
      <w:r>
        <w:rPr>
          <w:rFonts w:ascii="Arial" w:hAnsi="Arial" w:eastAsia="Arial"/>
          <w:b w:val="0"/>
          <w:i w:val="0"/>
          <w:sz w:val="18"/>
        </w:rPr>
        <w:t>- Kubernetes-ready deployment approach for Hyperledger Fabric peers, orderers, CAs, and chaincode services.</w:t>
      </w:r>
    </w:p>
    <w:p>
      <w:pPr>
        <w:spacing w:after="40"/>
      </w:pPr>
      <w:r>
        <w:rPr>
          <w:rFonts w:ascii="Arial" w:hAnsi="Arial" w:eastAsia="Arial"/>
          <w:b w:val="0"/>
          <w:i w:val="0"/>
          <w:sz w:val="18"/>
        </w:rPr>
        <w:t>- Metrics Server for HPA resource metrics.</w:t>
      </w:r>
    </w:p>
    <w:p>
      <w:pPr>
        <w:spacing w:after="40"/>
      </w:pPr>
      <w:r>
        <w:rPr>
          <w:rFonts w:ascii="Arial" w:hAnsi="Arial" w:eastAsia="Arial"/>
          <w:b w:val="0"/>
          <w:i w:val="0"/>
          <w:sz w:val="18"/>
        </w:rPr>
        <w:t>- HorizontalPodAutoscaler objects for scalable stateless services such as API/web workloads.</w:t>
      </w:r>
    </w:p>
    <w:p>
      <w:pPr>
        <w:spacing w:after="40"/>
      </w:pPr>
      <w:r>
        <w:rPr>
          <w:rFonts w:ascii="Arial" w:hAnsi="Arial" w:eastAsia="Arial"/>
          <w:b w:val="0"/>
          <w:i w:val="0"/>
          <w:sz w:val="18"/>
        </w:rPr>
        <w:t>- Resource requests and limits for all pods.</w:t>
      </w:r>
    </w:p>
    <w:p>
      <w:pPr>
        <w:spacing w:after="40"/>
      </w:pPr>
      <w:r>
        <w:rPr>
          <w:rFonts w:ascii="Arial" w:hAnsi="Arial" w:eastAsia="Arial"/>
          <w:b w:val="0"/>
          <w:i w:val="0"/>
          <w:sz w:val="18"/>
        </w:rPr>
        <w:t>- Network policies and TLS/mTLS configuration.</w:t>
      </w:r>
    </w:p>
    <w:p>
      <w:pPr>
        <w:spacing w:after="40"/>
      </w:pPr>
      <w:r>
        <w:rPr>
          <w:rFonts w:ascii="Arial" w:hAnsi="Arial" w:eastAsia="Arial"/>
          <w:b w:val="0"/>
          <w:i w:val="0"/>
          <w:sz w:val="18"/>
        </w:rPr>
        <w:t>- Persistent volume configuration for stateful components.</w:t>
      </w:r>
    </w:p>
    <w:p>
      <w:pPr>
        <w:spacing w:after="40"/>
      </w:pPr>
      <w:r>
        <w:rPr>
          <w:rFonts w:ascii="Arial" w:hAnsi="Arial" w:eastAsia="Arial"/>
          <w:b w:val="0"/>
          <w:i w:val="0"/>
          <w:sz w:val="18"/>
        </w:rPr>
        <w:t>- Clearly defined pass/fail thresholds for CPU, memory, latency, throughput, and failure rate.</w:t>
      </w:r>
    </w:p>
    <w:p>
      <w:pPr>
        <w:pStyle w:val="Heading3"/>
      </w:pPr>
      <w:r>
        <w:t>11.2 What Testing Will Validate</w:t>
      </w:r>
    </w:p>
    <w:p>
      <w:r>
        <w:rPr>
          <w:rFonts w:ascii="Arial" w:hAnsi="Arial" w:eastAsia="Arial"/>
          <w:b w:val="0"/>
          <w:i w:val="0"/>
          <w:sz w:val="19"/>
        </w:rPr>
        <w:t>If the Kubernetes environment is provided, testing can validate:</w:t>
      </w:r>
    </w:p>
    <w:p>
      <w:pPr>
        <w:spacing w:after="40"/>
      </w:pPr>
      <w:r>
        <w:rPr>
          <w:rFonts w:ascii="Arial" w:hAnsi="Arial" w:eastAsia="Arial"/>
          <w:b w:val="0"/>
          <w:i w:val="0"/>
          <w:sz w:val="18"/>
        </w:rPr>
        <w:t>- Whether HPA scales eligible workloads under load.</w:t>
      </w:r>
    </w:p>
    <w:p>
      <w:pPr>
        <w:spacing w:after="40"/>
      </w:pPr>
      <w:r>
        <w:rPr>
          <w:rFonts w:ascii="Arial" w:hAnsi="Arial" w:eastAsia="Arial"/>
          <w:b w:val="0"/>
          <w:i w:val="0"/>
          <w:sz w:val="18"/>
        </w:rPr>
        <w:t>- Whether resource usage remains below agreed CPU/memory thresholds.</w:t>
      </w:r>
    </w:p>
    <w:p>
      <w:pPr>
        <w:spacing w:after="40"/>
      </w:pPr>
      <w:r>
        <w:rPr>
          <w:rFonts w:ascii="Arial" w:hAnsi="Arial" w:eastAsia="Arial"/>
          <w:b w:val="0"/>
          <w:i w:val="0"/>
          <w:sz w:val="18"/>
        </w:rPr>
        <w:t>- Whether throughput and latency remain within acceptance targets under 2, 4, and 6 organization configurations.</w:t>
      </w:r>
    </w:p>
    <w:p>
      <w:pPr>
        <w:spacing w:after="40"/>
      </w:pPr>
      <w:r>
        <w:rPr>
          <w:rFonts w:ascii="Arial" w:hAnsi="Arial" w:eastAsia="Arial"/>
          <w:b w:val="0"/>
          <w:i w:val="0"/>
          <w:sz w:val="18"/>
        </w:rPr>
        <w:t>- Whether scaling events correlate with load and do not introduce unacceptable error rates.</w:t>
      </w:r>
    </w:p>
    <w:p>
      <w:pPr>
        <w:spacing w:after="40"/>
      </w:pPr>
      <w:r>
        <w:rPr>
          <w:rFonts w:ascii="Arial" w:hAnsi="Arial" w:eastAsia="Arial"/>
          <w:b w:val="0"/>
          <w:i w:val="0"/>
          <w:sz w:val="18"/>
        </w:rPr>
        <w:t>- Whether Kubernetes manifests meet baseline security and resource-management expectations.</w:t>
      </w:r>
    </w:p>
    <w:p>
      <w:r>
        <w:rPr>
          <w:rFonts w:ascii="Arial" w:hAnsi="Arial" w:eastAsia="Arial"/>
          <w:b w:val="0"/>
          <w:i w:val="0"/>
          <w:sz w:val="19"/>
        </w:rPr>
        <w:t>Proposed tools:</w:t>
      </w:r>
    </w:p>
    <w:p>
      <w:pPr>
        <w:spacing w:after="40"/>
      </w:pPr>
      <w:r>
        <w:rPr>
          <w:rFonts w:ascii="Arial" w:hAnsi="Arial" w:eastAsia="Arial"/>
          <w:b w:val="0"/>
          <w:i w:val="0"/>
          <w:sz w:val="18"/>
        </w:rPr>
        <w:t>- Kubernetes HPA and Metrics Server.</w:t>
      </w:r>
    </w:p>
    <w:p>
      <w:pPr>
        <w:spacing w:after="40"/>
      </w:pPr>
      <w:r>
        <w:rPr>
          <w:rFonts w:ascii="Arial" w:hAnsi="Arial" w:eastAsia="Arial"/>
          <w:b w:val="0"/>
          <w:i w:val="0"/>
          <w:sz w:val="18"/>
        </w:rPr>
        <w:t xml:space="preserve">- </w:t>
      </w:r>
      <w:r>
        <w:rPr>
          <w:rFonts w:ascii="Consolas" w:hAnsi="Consolas" w:eastAsia="Consolas"/>
          <w:b w:val="0"/>
          <w:i w:val="0"/>
          <w:sz w:val="18"/>
        </w:rPr>
        <w:t>kubectl top</w:t>
      </w:r>
      <w:r>
        <w:rPr>
          <w:rFonts w:ascii="Arial" w:hAnsi="Arial" w:eastAsia="Arial"/>
          <w:b w:val="0"/>
          <w:i w:val="0"/>
          <w:sz w:val="18"/>
        </w:rPr>
        <w:t xml:space="preserve">, </w:t>
      </w:r>
      <w:r>
        <w:rPr>
          <w:rFonts w:ascii="Consolas" w:hAnsi="Consolas" w:eastAsia="Consolas"/>
          <w:b w:val="0"/>
          <w:i w:val="0"/>
          <w:sz w:val="18"/>
        </w:rPr>
        <w:t>kubectl describe hpa</w:t>
      </w:r>
      <w:r>
        <w:rPr>
          <w:rFonts w:ascii="Arial" w:hAnsi="Arial" w:eastAsia="Arial"/>
          <w:b w:val="0"/>
          <w:i w:val="0"/>
          <w:sz w:val="18"/>
        </w:rPr>
        <w:t>, and event inspection.</w:t>
      </w:r>
    </w:p>
    <w:p>
      <w:pPr>
        <w:spacing w:after="40"/>
      </w:pPr>
      <w:r>
        <w:rPr>
          <w:rFonts w:ascii="Arial" w:hAnsi="Arial" w:eastAsia="Arial"/>
          <w:b w:val="0"/>
          <w:i w:val="0"/>
          <w:sz w:val="18"/>
        </w:rPr>
        <w:t xml:space="preserve">- </w:t>
      </w:r>
      <w:r>
        <w:rPr>
          <w:rFonts w:ascii="Consolas" w:hAnsi="Consolas" w:eastAsia="Consolas"/>
          <w:b w:val="0"/>
          <w:i w:val="0"/>
          <w:sz w:val="18"/>
        </w:rPr>
        <w:t>kubectl get events</w:t>
      </w:r>
      <w:r>
        <w:rPr>
          <w:rFonts w:ascii="Arial" w:hAnsi="Arial" w:eastAsia="Arial"/>
          <w:b w:val="0"/>
          <w:i w:val="0"/>
          <w:sz w:val="18"/>
        </w:rPr>
        <w:t>, pod restart counts, and resource-limit inspection.</w:t>
      </w:r>
    </w:p>
    <w:p>
      <w:pPr>
        <w:spacing w:after="40"/>
      </w:pPr>
      <w:r>
        <w:rPr>
          <w:rFonts w:ascii="Arial" w:hAnsi="Arial" w:eastAsia="Arial"/>
          <w:b w:val="0"/>
          <w:i w:val="0"/>
          <w:sz w:val="18"/>
        </w:rPr>
        <w:t>- Docker stats for Docker Compose baseline runs.</w:t>
      </w:r>
    </w:p>
    <w:p>
      <w:pPr>
        <w:spacing w:after="40"/>
      </w:pPr>
      <w:r>
        <w:rPr>
          <w:rFonts w:ascii="Arial" w:hAnsi="Arial" w:eastAsia="Arial"/>
          <w:b w:val="0"/>
          <w:i w:val="0"/>
          <w:sz w:val="18"/>
        </w:rPr>
        <w:t>- Hyperledger Caliper and k6 for load generation.</w:t>
      </w:r>
    </w:p>
    <w:p>
      <w:pPr>
        <w:pStyle w:val="Heading3"/>
      </w:pPr>
      <w:r>
        <w:t>11.3 Scaling Environment Exclusions</w:t>
      </w:r>
    </w:p>
    <w:p>
      <w:r>
        <w:rPr>
          <w:rFonts w:ascii="Arial" w:hAnsi="Arial" w:eastAsia="Arial"/>
          <w:b w:val="0"/>
          <w:i w:val="0"/>
          <w:sz w:val="19"/>
        </w:rPr>
        <w:t>Out of scope for testing services unless separately contracted:</w:t>
      </w:r>
    </w:p>
    <w:p>
      <w:pPr>
        <w:spacing w:after="40"/>
      </w:pPr>
      <w:r>
        <w:rPr>
          <w:rFonts w:ascii="Arial" w:hAnsi="Arial" w:eastAsia="Arial"/>
          <w:b w:val="0"/>
          <w:i w:val="0"/>
          <w:sz w:val="18"/>
        </w:rPr>
        <w:t>- Migrating the current Docker Compose setup to Kubernetes.</w:t>
      </w:r>
    </w:p>
    <w:p>
      <w:pPr>
        <w:spacing w:after="40"/>
      </w:pPr>
      <w:r>
        <w:rPr>
          <w:rFonts w:ascii="Arial" w:hAnsi="Arial" w:eastAsia="Arial"/>
          <w:b w:val="0"/>
          <w:i w:val="0"/>
          <w:sz w:val="18"/>
        </w:rPr>
        <w:t>- Designing a production Hyperledger Fabric Kubernetes architecture.</w:t>
      </w:r>
    </w:p>
    <w:p>
      <w:pPr>
        <w:spacing w:after="40"/>
      </w:pPr>
      <w:r>
        <w:rPr>
          <w:rFonts w:ascii="Arial" w:hAnsi="Arial" w:eastAsia="Arial"/>
          <w:b w:val="0"/>
          <w:i w:val="0"/>
          <w:sz w:val="18"/>
        </w:rPr>
        <w:t>- Implementing HPA, metrics pipelines, Helm charts, operators, service mesh, or persistent storage.</w:t>
      </w:r>
    </w:p>
    <w:p>
      <w:pPr>
        <w:spacing w:after="40"/>
      </w:pPr>
      <w:r>
        <w:rPr>
          <w:rFonts w:ascii="Arial" w:hAnsi="Arial" w:eastAsia="Arial"/>
          <w:b w:val="0"/>
          <w:i w:val="0"/>
          <w:sz w:val="18"/>
        </w:rPr>
        <w:t>- Tuning Kubernetes cluster autoscaler or cloud infrastructure.</w:t>
      </w:r>
    </w:p>
    <w:p>
      <w:pPr>
        <w:spacing w:after="40"/>
      </w:pPr>
      <w:r>
        <w:rPr>
          <w:rFonts w:ascii="Arial" w:hAnsi="Arial" w:eastAsia="Arial"/>
          <w:b w:val="0"/>
          <w:i w:val="0"/>
          <w:sz w:val="18"/>
        </w:rPr>
        <w:t>- Guaranteeing national-scale production readiness.</w:t>
      </w:r>
    </w:p>
    <w:p>
      <w:r>
        <w:rPr>
          <w:rFonts w:ascii="Arial" w:hAnsi="Arial" w:eastAsia="Arial"/>
          <w:b w:val="0"/>
          <w:i w:val="0"/>
          <w:sz w:val="19"/>
        </w:rPr>
        <w:t>Testing can identify the need for these changes and validate a supplied environment, but implementation requires a dedicated infrastructure/DevOps team.</w:t>
      </w:r>
    </w:p>
    <w:p>
      <w:pPr>
        <w:pStyle w:val="Heading1"/>
      </w:pPr>
      <w:r>
        <w:t>12. HIPAA Compliance Testing Scope</w:t>
      </w:r>
    </w:p>
    <w:p>
      <w:r>
        <w:rPr>
          <w:rFonts w:ascii="Arial" w:hAnsi="Arial" w:eastAsia="Arial"/>
          <w:b w:val="0"/>
          <w:i w:val="0"/>
          <w:sz w:val="19"/>
        </w:rPr>
        <w:t>HIPAA testing will be an evidence-based technical control assessment, not a legal certification or legal opinion. The primary focus will be HIPAA Security Rule technical safeguards under 45 CFR 164.312, because that is what the project testing specification requires.</w:t>
      </w:r>
    </w:p>
    <w:p>
      <w:r>
        <w:rPr>
          <w:rFonts w:ascii="Arial" w:hAnsi="Arial" w:eastAsia="Arial"/>
          <w:b w:val="0"/>
          <w:i w:val="0"/>
          <w:sz w:val="19"/>
        </w:rPr>
        <w:t>In scope:</w:t>
      </w:r>
    </w:p>
    <w:tbl>
      <w:tblPr>
        <w:tblStyle w:val="TableGrid"/>
        <w:tblW w:type="auto" w:w="0"/>
        <w:tblLayout w:type="autofit"/>
        <w:tblLook w:firstColumn="1" w:firstRow="1" w:lastColumn="0" w:lastRow="0" w:noHBand="0" w:noVBand="1" w:val="04A0"/>
      </w:tblPr>
      <w:tblGrid>
        <w:gridCol w:w="5140"/>
        <w:gridCol w:w="5140"/>
        <w:gridCol w:w="5140"/>
      </w:tblGrid>
      <w:tr>
        <w:trPr>
          <w:tblHeader w:val="true"/>
        </w:trPr>
        <w:tc>
          <w:tcPr>
            <w:tcW w:type="dxa" w:w="3456"/>
            <w:vAlign w:val="center"/>
            <w:tcMar>
              <w:top w:w="90" w:type="dxa"/>
              <w:start w:w="90" w:type="dxa"/>
              <w:bottom w:w="90" w:type="dxa"/>
              <w:end w:w="90" w:type="dxa"/>
            </w:tcMar>
            <w:shd w:fill="1F4E79"/>
          </w:tcPr>
          <w:p>
            <w:pPr>
              <w:spacing w:after="0" w:line="252" w:lineRule="auto"/>
            </w:pPr>
            <w:r>
              <w:rPr>
                <w:rFonts w:ascii="Arial" w:hAnsi="Arial" w:eastAsia="Arial"/>
                <w:b/>
                <w:i w:val="0"/>
                <w:color w:val="FFFFFF"/>
                <w:sz w:val="17"/>
              </w:rPr>
              <w:t>HIPAA area</w:t>
            </w:r>
          </w:p>
        </w:tc>
        <w:tc>
          <w:tcPr>
            <w:tcW w:type="dxa" w:w="5904"/>
            <w:vAlign w:val="center"/>
            <w:tcMar>
              <w:top w:w="90" w:type="dxa"/>
              <w:start w:w="90" w:type="dxa"/>
              <w:bottom w:w="90" w:type="dxa"/>
              <w:end w:w="90" w:type="dxa"/>
            </w:tcMar>
            <w:shd w:fill="1F4E79"/>
          </w:tcPr>
          <w:p>
            <w:pPr>
              <w:spacing w:after="0" w:line="252" w:lineRule="auto"/>
            </w:pPr>
            <w:r>
              <w:rPr>
                <w:rFonts w:ascii="Arial" w:hAnsi="Arial" w:eastAsia="Arial"/>
                <w:b/>
                <w:i w:val="0"/>
                <w:color w:val="FFFFFF"/>
                <w:sz w:val="17"/>
              </w:rPr>
              <w:t>What will be tested</w:t>
            </w:r>
          </w:p>
        </w:tc>
        <w:tc>
          <w:tcPr>
            <w:tcW w:type="dxa" w:w="5904"/>
            <w:vAlign w:val="center"/>
            <w:tcMar>
              <w:top w:w="90" w:type="dxa"/>
              <w:start w:w="90" w:type="dxa"/>
              <w:bottom w:w="90" w:type="dxa"/>
              <w:end w:w="90" w:type="dxa"/>
            </w:tcMar>
            <w:shd w:fill="1F4E79"/>
          </w:tcPr>
          <w:p>
            <w:pPr>
              <w:spacing w:after="0" w:line="252" w:lineRule="auto"/>
            </w:pPr>
            <w:r>
              <w:rPr>
                <w:rFonts w:ascii="Arial" w:hAnsi="Arial" w:eastAsia="Arial"/>
                <w:b/>
                <w:i w:val="0"/>
                <w:color w:val="FFFFFF"/>
                <w:sz w:val="17"/>
              </w:rPr>
              <w:t>Evidence sources</w:t>
            </w:r>
          </w:p>
        </w:tc>
      </w:tr>
      <w:tr>
        <w:tc>
          <w:tcPr>
            <w:tcW w:type="dxa" w:w="3456"/>
            <w:vAlign w:val="center"/>
            <w:tcMar>
              <w:top w:w="90" w:type="dxa"/>
              <w:start w:w="90" w:type="dxa"/>
              <w:bottom w:w="90" w:type="dxa"/>
              <w:end w:w="90" w:type="dxa"/>
            </w:tcMar>
          </w:tcPr>
          <w:p>
            <w:pPr>
              <w:spacing w:after="0" w:line="252" w:lineRule="auto"/>
            </w:pPr>
            <w:r>
              <w:rPr>
                <w:rFonts w:ascii="Arial" w:hAnsi="Arial" w:eastAsia="Arial"/>
                <w:b w:val="0"/>
                <w:i w:val="0"/>
                <w:sz w:val="17"/>
              </w:rPr>
              <w:t>Access control</w:t>
            </w:r>
          </w:p>
        </w:tc>
        <w:tc>
          <w:tcPr>
            <w:tcW w:type="dxa" w:w="5904"/>
            <w:vAlign w:val="center"/>
            <w:tcMar>
              <w:top w:w="90" w:type="dxa"/>
              <w:start w:w="90" w:type="dxa"/>
              <w:bottom w:w="90" w:type="dxa"/>
              <w:end w:w="90" w:type="dxa"/>
            </w:tcMar>
          </w:tcPr>
          <w:p>
            <w:pPr>
              <w:spacing w:after="0" w:line="252" w:lineRule="auto"/>
            </w:pPr>
            <w:r>
              <w:rPr>
                <w:rFonts w:ascii="Arial" w:hAnsi="Arial" w:eastAsia="Arial"/>
                <w:b w:val="0"/>
                <w:i w:val="0"/>
                <w:sz w:val="17"/>
              </w:rPr>
              <w:t>Unique user identity, role separation, least-privilege behavior, session expiry, blocked unauthorized access</w:t>
            </w:r>
          </w:p>
        </w:tc>
        <w:tc>
          <w:tcPr>
            <w:tcW w:type="dxa" w:w="5904"/>
            <w:vAlign w:val="center"/>
            <w:tcMar>
              <w:top w:w="90" w:type="dxa"/>
              <w:start w:w="90" w:type="dxa"/>
              <w:bottom w:w="90" w:type="dxa"/>
              <w:end w:w="90" w:type="dxa"/>
            </w:tcMar>
          </w:tcPr>
          <w:p>
            <w:pPr>
              <w:spacing w:after="0" w:line="252" w:lineRule="auto"/>
            </w:pPr>
            <w:r>
              <w:rPr>
                <w:rFonts w:ascii="Arial" w:hAnsi="Arial" w:eastAsia="Arial"/>
                <w:b w:val="0"/>
                <w:i w:val="0"/>
                <w:sz w:val="17"/>
              </w:rPr>
              <w:t>Functional tests, security tests, JWT tests, chaincode role tests</w:t>
            </w:r>
          </w:p>
        </w:tc>
      </w:tr>
      <w:tr>
        <w:tc>
          <w:tcPr>
            <w:tcW w:type="dxa" w:w="3456"/>
            <w:vAlign w:val="center"/>
            <w:tcMar>
              <w:top w:w="90" w:type="dxa"/>
              <w:start w:w="90" w:type="dxa"/>
              <w:bottom w:w="90" w:type="dxa"/>
              <w:end w:w="90" w:type="dxa"/>
            </w:tcMar>
            <w:shd w:fill="F6FAFD"/>
          </w:tcPr>
          <w:p>
            <w:pPr>
              <w:spacing w:after="0" w:line="252" w:lineRule="auto"/>
            </w:pPr>
            <w:r>
              <w:rPr>
                <w:rFonts w:ascii="Arial" w:hAnsi="Arial" w:eastAsia="Arial"/>
                <w:b w:val="0"/>
                <w:i w:val="0"/>
                <w:sz w:val="17"/>
              </w:rPr>
              <w:t>Audit controls</w:t>
            </w:r>
          </w:p>
        </w:tc>
        <w:tc>
          <w:tcPr>
            <w:tcW w:type="dxa" w:w="5904"/>
            <w:vAlign w:val="center"/>
            <w:tcMar>
              <w:top w:w="90" w:type="dxa"/>
              <w:start w:w="90" w:type="dxa"/>
              <w:bottom w:w="90" w:type="dxa"/>
              <w:end w:w="90" w:type="dxa"/>
            </w:tcMar>
            <w:shd w:fill="F6FAFD"/>
          </w:tcPr>
          <w:p>
            <w:pPr>
              <w:spacing w:after="0" w:line="252" w:lineRule="auto"/>
            </w:pPr>
            <w:r>
              <w:rPr>
                <w:rFonts w:ascii="Arial" w:hAnsi="Arial" w:eastAsia="Arial"/>
                <w:b w:val="0"/>
                <w:i w:val="0"/>
                <w:sz w:val="17"/>
              </w:rPr>
              <w:t>Whether access, consent, request, and record-modification events are logged with actor and timestamp</w:t>
            </w:r>
          </w:p>
        </w:tc>
        <w:tc>
          <w:tcPr>
            <w:tcW w:type="dxa" w:w="5904"/>
            <w:vAlign w:val="center"/>
            <w:tcMar>
              <w:top w:w="90" w:type="dxa"/>
              <w:start w:w="90" w:type="dxa"/>
              <w:bottom w:w="90" w:type="dxa"/>
              <w:end w:w="90" w:type="dxa"/>
            </w:tcMar>
            <w:shd w:fill="F6FAFD"/>
          </w:tcPr>
          <w:p>
            <w:pPr>
              <w:spacing w:after="0" w:line="252" w:lineRule="auto"/>
            </w:pPr>
            <w:r>
              <w:rPr>
                <w:rFonts w:ascii="Arial" w:hAnsi="Arial" w:eastAsia="Arial"/>
                <w:b w:val="0"/>
                <w:i w:val="0"/>
                <w:sz w:val="17"/>
              </w:rPr>
              <w:t>Ledger transaction queries, API logs, screenshots</w:t>
            </w:r>
          </w:p>
        </w:tc>
      </w:tr>
      <w:tr>
        <w:tc>
          <w:tcPr>
            <w:tcW w:type="dxa" w:w="3456"/>
            <w:vAlign w:val="center"/>
            <w:tcMar>
              <w:top w:w="90" w:type="dxa"/>
              <w:start w:w="90" w:type="dxa"/>
              <w:bottom w:w="90" w:type="dxa"/>
              <w:end w:w="90" w:type="dxa"/>
            </w:tcMar>
          </w:tcPr>
          <w:p>
            <w:pPr>
              <w:spacing w:after="0" w:line="252" w:lineRule="auto"/>
            </w:pPr>
            <w:r>
              <w:rPr>
                <w:rFonts w:ascii="Arial" w:hAnsi="Arial" w:eastAsia="Arial"/>
                <w:b w:val="0"/>
                <w:i w:val="0"/>
                <w:sz w:val="17"/>
              </w:rPr>
              <w:t>Integrity</w:t>
            </w:r>
          </w:p>
        </w:tc>
        <w:tc>
          <w:tcPr>
            <w:tcW w:type="dxa" w:w="5904"/>
            <w:vAlign w:val="center"/>
            <w:tcMar>
              <w:top w:w="90" w:type="dxa"/>
              <w:start w:w="90" w:type="dxa"/>
              <w:bottom w:w="90" w:type="dxa"/>
              <w:end w:w="90" w:type="dxa"/>
            </w:tcMar>
          </w:tcPr>
          <w:p>
            <w:pPr>
              <w:spacing w:after="0" w:line="252" w:lineRule="auto"/>
            </w:pPr>
            <w:r>
              <w:rPr>
                <w:rFonts w:ascii="Arial" w:hAnsi="Arial" w:eastAsia="Arial"/>
                <w:b w:val="0"/>
                <w:i w:val="0"/>
                <w:sz w:val="17"/>
              </w:rPr>
              <w:t>Whether off-chain record/file changes are detectable using on-chain SHA-256 hashes</w:t>
            </w:r>
          </w:p>
        </w:tc>
        <w:tc>
          <w:tcPr>
            <w:tcW w:type="dxa" w:w="5904"/>
            <w:vAlign w:val="center"/>
            <w:tcMar>
              <w:top w:w="90" w:type="dxa"/>
              <w:start w:w="90" w:type="dxa"/>
              <w:bottom w:w="90" w:type="dxa"/>
              <w:end w:w="90" w:type="dxa"/>
            </w:tcMar>
          </w:tcPr>
          <w:p>
            <w:pPr>
              <w:spacing w:after="0" w:line="252" w:lineRule="auto"/>
            </w:pPr>
            <w:r>
              <w:rPr>
                <w:rFonts w:ascii="Arial" w:hAnsi="Arial" w:eastAsia="Arial"/>
                <w:b w:val="0"/>
                <w:i w:val="0"/>
                <w:sz w:val="17"/>
              </w:rPr>
              <w:t>Hash tampering test, ledger hash comparison</w:t>
            </w:r>
          </w:p>
        </w:tc>
      </w:tr>
      <w:tr>
        <w:tc>
          <w:tcPr>
            <w:tcW w:type="dxa" w:w="3456"/>
            <w:vAlign w:val="center"/>
            <w:tcMar>
              <w:top w:w="90" w:type="dxa"/>
              <w:start w:w="90" w:type="dxa"/>
              <w:bottom w:w="90" w:type="dxa"/>
              <w:end w:w="90" w:type="dxa"/>
            </w:tcMar>
            <w:shd w:fill="F6FAFD"/>
          </w:tcPr>
          <w:p>
            <w:pPr>
              <w:spacing w:after="0" w:line="252" w:lineRule="auto"/>
            </w:pPr>
            <w:r>
              <w:rPr>
                <w:rFonts w:ascii="Arial" w:hAnsi="Arial" w:eastAsia="Arial"/>
                <w:b w:val="0"/>
                <w:i w:val="0"/>
                <w:sz w:val="17"/>
              </w:rPr>
              <w:t>Person/entity authentication</w:t>
            </w:r>
          </w:p>
        </w:tc>
        <w:tc>
          <w:tcPr>
            <w:tcW w:type="dxa" w:w="5904"/>
            <w:vAlign w:val="center"/>
            <w:tcMar>
              <w:top w:w="90" w:type="dxa"/>
              <w:start w:w="90" w:type="dxa"/>
              <w:bottom w:w="90" w:type="dxa"/>
              <w:end w:w="90" w:type="dxa"/>
            </w:tcMar>
            <w:shd w:fill="F6FAFD"/>
          </w:tcPr>
          <w:p>
            <w:pPr>
              <w:spacing w:after="0" w:line="252" w:lineRule="auto"/>
            </w:pPr>
            <w:r>
              <w:rPr>
                <w:rFonts w:ascii="Arial" w:hAnsi="Arial" w:eastAsia="Arial"/>
                <w:b w:val="0"/>
                <w:i w:val="0"/>
                <w:sz w:val="17"/>
              </w:rPr>
              <w:t>Whether users and organizations are authenticated through JWT/MSP/certificates</w:t>
            </w:r>
          </w:p>
        </w:tc>
        <w:tc>
          <w:tcPr>
            <w:tcW w:type="dxa" w:w="5904"/>
            <w:vAlign w:val="center"/>
            <w:tcMar>
              <w:top w:w="90" w:type="dxa"/>
              <w:start w:w="90" w:type="dxa"/>
              <w:bottom w:w="90" w:type="dxa"/>
              <w:end w:w="90" w:type="dxa"/>
            </w:tcMar>
            <w:shd w:fill="F6FAFD"/>
          </w:tcPr>
          <w:p>
            <w:pPr>
              <w:spacing w:after="0" w:line="252" w:lineRule="auto"/>
            </w:pPr>
            <w:r>
              <w:rPr>
                <w:rFonts w:ascii="Arial" w:hAnsi="Arial" w:eastAsia="Arial"/>
                <w:b w:val="0"/>
                <w:i w:val="0"/>
                <w:sz w:val="17"/>
              </w:rPr>
              <w:t>MSP identity tests, login tests, certificate review</w:t>
            </w:r>
          </w:p>
        </w:tc>
      </w:tr>
      <w:tr>
        <w:tc>
          <w:tcPr>
            <w:tcW w:type="dxa" w:w="3456"/>
            <w:vAlign w:val="center"/>
            <w:tcMar>
              <w:top w:w="90" w:type="dxa"/>
              <w:start w:w="90" w:type="dxa"/>
              <w:bottom w:w="90" w:type="dxa"/>
              <w:end w:w="90" w:type="dxa"/>
            </w:tcMar>
          </w:tcPr>
          <w:p>
            <w:pPr>
              <w:spacing w:after="0" w:line="252" w:lineRule="auto"/>
            </w:pPr>
            <w:r>
              <w:rPr>
                <w:rFonts w:ascii="Arial" w:hAnsi="Arial" w:eastAsia="Arial"/>
                <w:b w:val="0"/>
                <w:i w:val="0"/>
                <w:sz w:val="17"/>
              </w:rPr>
              <w:t>Transmission security</w:t>
            </w:r>
          </w:p>
        </w:tc>
        <w:tc>
          <w:tcPr>
            <w:tcW w:type="dxa" w:w="5904"/>
            <w:vAlign w:val="center"/>
            <w:tcMar>
              <w:top w:w="90" w:type="dxa"/>
              <w:start w:w="90" w:type="dxa"/>
              <w:bottom w:w="90" w:type="dxa"/>
              <w:end w:w="90" w:type="dxa"/>
            </w:tcMar>
          </w:tcPr>
          <w:p>
            <w:pPr>
              <w:spacing w:after="0" w:line="252" w:lineRule="auto"/>
            </w:pPr>
            <w:r>
              <w:rPr>
                <w:rFonts w:ascii="Arial" w:hAnsi="Arial" w:eastAsia="Arial"/>
                <w:b w:val="0"/>
                <w:i w:val="0"/>
                <w:sz w:val="17"/>
              </w:rPr>
              <w:t>Whether data in transit is protected with TLS/mTLS and invalid certificates are rejected</w:t>
            </w:r>
          </w:p>
        </w:tc>
        <w:tc>
          <w:tcPr>
            <w:tcW w:type="dxa" w:w="5904"/>
            <w:vAlign w:val="center"/>
            <w:tcMar>
              <w:top w:w="90" w:type="dxa"/>
              <w:start w:w="90" w:type="dxa"/>
              <w:bottom w:w="90" w:type="dxa"/>
              <w:end w:w="90" w:type="dxa"/>
            </w:tcMar>
          </w:tcPr>
          <w:p>
            <w:pPr>
              <w:spacing w:after="0" w:line="252" w:lineRule="auto"/>
            </w:pPr>
            <w:r>
              <w:rPr>
                <w:rFonts w:ascii="Arial" w:hAnsi="Arial" w:eastAsia="Arial"/>
                <w:b w:val="0"/>
                <w:i w:val="0"/>
                <w:sz w:val="17"/>
              </w:rPr>
              <w:t>TLS scan output, connection profile review</w:t>
            </w:r>
          </w:p>
        </w:tc>
      </w:tr>
      <w:tr>
        <w:tc>
          <w:tcPr>
            <w:tcW w:type="dxa" w:w="3456"/>
            <w:vAlign w:val="center"/>
            <w:tcMar>
              <w:top w:w="90" w:type="dxa"/>
              <w:start w:w="90" w:type="dxa"/>
              <w:bottom w:w="90" w:type="dxa"/>
              <w:end w:w="90" w:type="dxa"/>
            </w:tcMar>
            <w:shd w:fill="F6FAFD"/>
          </w:tcPr>
          <w:p>
            <w:pPr>
              <w:spacing w:after="0" w:line="252" w:lineRule="auto"/>
            </w:pPr>
            <w:r>
              <w:rPr>
                <w:rFonts w:ascii="Arial" w:hAnsi="Arial" w:eastAsia="Arial"/>
                <w:b w:val="0"/>
                <w:i w:val="0"/>
                <w:sz w:val="17"/>
              </w:rPr>
              <w:t>Encryption/decryption</w:t>
            </w:r>
          </w:p>
        </w:tc>
        <w:tc>
          <w:tcPr>
            <w:tcW w:type="dxa" w:w="5904"/>
            <w:vAlign w:val="center"/>
            <w:tcMar>
              <w:top w:w="90" w:type="dxa"/>
              <w:start w:w="90" w:type="dxa"/>
              <w:bottom w:w="90" w:type="dxa"/>
              <w:end w:w="90" w:type="dxa"/>
            </w:tcMar>
            <w:shd w:fill="F6FAFD"/>
          </w:tcPr>
          <w:p>
            <w:pPr>
              <w:spacing w:after="0" w:line="252" w:lineRule="auto"/>
            </w:pPr>
            <w:r>
              <w:rPr>
                <w:rFonts w:ascii="Arial" w:hAnsi="Arial" w:eastAsia="Arial"/>
                <w:b w:val="0"/>
                <w:i w:val="0"/>
                <w:sz w:val="17"/>
              </w:rPr>
              <w:t>Whether encryption controls exist for transmission and, where applicable, storage</w:t>
            </w:r>
          </w:p>
        </w:tc>
        <w:tc>
          <w:tcPr>
            <w:tcW w:type="dxa" w:w="5904"/>
            <w:vAlign w:val="center"/>
            <w:tcMar>
              <w:top w:w="90" w:type="dxa"/>
              <w:start w:w="90" w:type="dxa"/>
              <w:bottom w:w="90" w:type="dxa"/>
              <w:end w:w="90" w:type="dxa"/>
            </w:tcMar>
            <w:shd w:fill="F6FAFD"/>
          </w:tcPr>
          <w:p>
            <w:pPr>
              <w:spacing w:after="0" w:line="252" w:lineRule="auto"/>
            </w:pPr>
            <w:r>
              <w:rPr>
                <w:rFonts w:ascii="Arial" w:hAnsi="Arial" w:eastAsia="Arial"/>
                <w:b w:val="0"/>
                <w:i w:val="0"/>
                <w:sz w:val="17"/>
              </w:rPr>
              <w:t>TLS evidence, configuration review, gap note if DB/file encryption is absent</w:t>
            </w:r>
          </w:p>
        </w:tc>
      </w:tr>
    </w:tbl>
    <w:p/>
    <w:p>
      <w:r>
        <w:rPr>
          <w:rFonts w:ascii="Arial" w:hAnsi="Arial" w:eastAsia="Arial"/>
          <w:b w:val="0"/>
          <w:i w:val="0"/>
          <w:sz w:val="19"/>
        </w:rPr>
        <w:t>Likely gap areas to check carefully:</w:t>
      </w:r>
    </w:p>
    <w:p>
      <w:pPr>
        <w:spacing w:after="40"/>
      </w:pPr>
      <w:r>
        <w:rPr>
          <w:rFonts w:ascii="Arial" w:hAnsi="Arial" w:eastAsia="Arial"/>
          <w:b w:val="0"/>
          <w:i w:val="0"/>
          <w:sz w:val="18"/>
        </w:rPr>
        <w:t>- Emergency access procedure is a required HIPAA implementation specification but may not be implemented in the system.</w:t>
      </w:r>
    </w:p>
    <w:p>
      <w:pPr>
        <w:spacing w:after="40"/>
      </w:pPr>
      <w:r>
        <w:rPr>
          <w:rFonts w:ascii="Arial" w:hAnsi="Arial" w:eastAsia="Arial"/>
          <w:b w:val="0"/>
          <w:i w:val="0"/>
          <w:sz w:val="18"/>
        </w:rPr>
        <w:t>- Automatic logoff/JWT expiry must be demonstrated, not assumed.</w:t>
      </w:r>
    </w:p>
    <w:p>
      <w:pPr>
        <w:spacing w:after="40"/>
      </w:pPr>
      <w:r>
        <w:rPr>
          <w:rFonts w:ascii="Arial" w:hAnsi="Arial" w:eastAsia="Arial"/>
          <w:b w:val="0"/>
          <w:i w:val="0"/>
          <w:sz w:val="18"/>
        </w:rPr>
        <w:t>- Database/file encryption at rest may not be covered by the blockchain hash model.</w:t>
      </w:r>
    </w:p>
    <w:p>
      <w:pPr>
        <w:spacing w:after="40"/>
      </w:pPr>
      <w:r>
        <w:rPr>
          <w:rFonts w:ascii="Arial" w:hAnsi="Arial" w:eastAsia="Arial"/>
          <w:b w:val="0"/>
          <w:i w:val="0"/>
          <w:sz w:val="18"/>
        </w:rPr>
        <w:t>- Administrative and physical safeguards are not fully testable from application evidence alone unless policies and operational procedures are provided.</w:t>
      </w:r>
    </w:p>
    <w:p>
      <w:r>
        <w:rPr>
          <w:rFonts w:ascii="Arial" w:hAnsi="Arial" w:eastAsia="Arial"/>
          <w:b w:val="0"/>
          <w:i w:val="0"/>
          <w:sz w:val="19"/>
        </w:rPr>
        <w:t>Out of scope:</w:t>
      </w:r>
    </w:p>
    <w:p>
      <w:pPr>
        <w:spacing w:after="40"/>
      </w:pPr>
      <w:r>
        <w:rPr>
          <w:rFonts w:ascii="Arial" w:hAnsi="Arial" w:eastAsia="Arial"/>
          <w:b w:val="0"/>
          <w:i w:val="0"/>
          <w:sz w:val="18"/>
        </w:rPr>
        <w:t>- Formal HIPAA legal attestation.</w:t>
      </w:r>
    </w:p>
    <w:p>
      <w:pPr>
        <w:spacing w:after="40"/>
      </w:pPr>
      <w:r>
        <w:rPr>
          <w:rFonts w:ascii="Arial" w:hAnsi="Arial" w:eastAsia="Arial"/>
          <w:b w:val="0"/>
          <w:i w:val="0"/>
          <w:sz w:val="18"/>
        </w:rPr>
        <w:t>- Covered entity/business associate determination.</w:t>
      </w:r>
    </w:p>
    <w:p>
      <w:pPr>
        <w:spacing w:after="40"/>
      </w:pPr>
      <w:r>
        <w:rPr>
          <w:rFonts w:ascii="Arial" w:hAnsi="Arial" w:eastAsia="Arial"/>
          <w:b w:val="0"/>
          <w:i w:val="0"/>
          <w:sz w:val="18"/>
        </w:rPr>
        <w:t>- Drafting policies and procedures.</w:t>
      </w:r>
    </w:p>
    <w:p>
      <w:pPr>
        <w:spacing w:after="40"/>
      </w:pPr>
      <w:r>
        <w:rPr>
          <w:rFonts w:ascii="Arial" w:hAnsi="Arial" w:eastAsia="Arial"/>
          <w:b w:val="0"/>
          <w:i w:val="0"/>
          <w:sz w:val="18"/>
        </w:rPr>
        <w:t>- Implementing missing controls.</w:t>
      </w:r>
    </w:p>
    <w:p>
      <w:pPr>
        <w:pStyle w:val="Heading1"/>
      </w:pPr>
      <w:r>
        <w:t>13. GDPR Compliance Testing Scope</w:t>
      </w:r>
    </w:p>
    <w:p>
      <w:r>
        <w:rPr>
          <w:rFonts w:ascii="Arial" w:hAnsi="Arial" w:eastAsia="Arial"/>
          <w:b w:val="0"/>
          <w:i w:val="0"/>
          <w:sz w:val="19"/>
        </w:rPr>
        <w:t>GDPR testing will be an evidence-based technical and procedural mapping against the GDPR articles listed in the testing deliverables specification. It will not constitute legal advice or regulatory certification.</w:t>
      </w:r>
    </w:p>
    <w:p>
      <w:r>
        <w:rPr>
          <w:rFonts w:ascii="Arial" w:hAnsi="Arial" w:eastAsia="Arial"/>
          <w:b w:val="0"/>
          <w:i w:val="0"/>
          <w:sz w:val="19"/>
        </w:rPr>
        <w:t>In scope:</w:t>
      </w:r>
    </w:p>
    <w:tbl>
      <w:tblPr>
        <w:tblStyle w:val="TableGrid"/>
        <w:tblW w:type="auto" w:w="0"/>
        <w:tblLayout w:type="autofit"/>
        <w:tblLook w:firstColumn="1" w:firstRow="1" w:lastColumn="0" w:lastRow="0" w:noHBand="0" w:noVBand="1" w:val="04A0"/>
      </w:tblPr>
      <w:tblGrid>
        <w:gridCol w:w="5140"/>
        <w:gridCol w:w="5140"/>
        <w:gridCol w:w="5140"/>
      </w:tblGrid>
      <w:tr>
        <w:trPr>
          <w:tblHeader w:val="true"/>
        </w:trPr>
        <w:tc>
          <w:tcPr>
            <w:tcW w:type="dxa" w:w="3456"/>
            <w:vAlign w:val="center"/>
            <w:tcMar>
              <w:top w:w="90" w:type="dxa"/>
              <w:start w:w="90" w:type="dxa"/>
              <w:bottom w:w="90" w:type="dxa"/>
              <w:end w:w="90" w:type="dxa"/>
            </w:tcMar>
            <w:shd w:fill="1F4E79"/>
          </w:tcPr>
          <w:p>
            <w:pPr>
              <w:spacing w:after="0" w:line="252" w:lineRule="auto"/>
            </w:pPr>
            <w:r>
              <w:rPr>
                <w:rFonts w:ascii="Arial" w:hAnsi="Arial" w:eastAsia="Arial"/>
                <w:b/>
                <w:i w:val="0"/>
                <w:color w:val="FFFFFF"/>
                <w:sz w:val="17"/>
              </w:rPr>
              <w:t>GDPR area</w:t>
            </w:r>
          </w:p>
        </w:tc>
        <w:tc>
          <w:tcPr>
            <w:tcW w:type="dxa" w:w="5904"/>
            <w:vAlign w:val="center"/>
            <w:tcMar>
              <w:top w:w="90" w:type="dxa"/>
              <w:start w:w="90" w:type="dxa"/>
              <w:bottom w:w="90" w:type="dxa"/>
              <w:end w:w="90" w:type="dxa"/>
            </w:tcMar>
            <w:shd w:fill="1F4E79"/>
          </w:tcPr>
          <w:p>
            <w:pPr>
              <w:spacing w:after="0" w:line="252" w:lineRule="auto"/>
            </w:pPr>
            <w:r>
              <w:rPr>
                <w:rFonts w:ascii="Arial" w:hAnsi="Arial" w:eastAsia="Arial"/>
                <w:b/>
                <w:i w:val="0"/>
                <w:color w:val="FFFFFF"/>
                <w:sz w:val="17"/>
              </w:rPr>
              <w:t>What will be tested</w:t>
            </w:r>
          </w:p>
        </w:tc>
        <w:tc>
          <w:tcPr>
            <w:tcW w:type="dxa" w:w="5904"/>
            <w:vAlign w:val="center"/>
            <w:tcMar>
              <w:top w:w="90" w:type="dxa"/>
              <w:start w:w="90" w:type="dxa"/>
              <w:bottom w:w="90" w:type="dxa"/>
              <w:end w:w="90" w:type="dxa"/>
            </w:tcMar>
            <w:shd w:fill="1F4E79"/>
          </w:tcPr>
          <w:p>
            <w:pPr>
              <w:spacing w:after="0" w:line="252" w:lineRule="auto"/>
            </w:pPr>
            <w:r>
              <w:rPr>
                <w:rFonts w:ascii="Arial" w:hAnsi="Arial" w:eastAsia="Arial"/>
                <w:b/>
                <w:i w:val="0"/>
                <w:color w:val="FFFFFF"/>
                <w:sz w:val="17"/>
              </w:rPr>
              <w:t>Evidence sources</w:t>
            </w:r>
          </w:p>
        </w:tc>
      </w:tr>
      <w:tr>
        <w:tc>
          <w:tcPr>
            <w:tcW w:type="dxa" w:w="3456"/>
            <w:vAlign w:val="center"/>
            <w:tcMar>
              <w:top w:w="90" w:type="dxa"/>
              <w:start w:w="90" w:type="dxa"/>
              <w:bottom w:w="90" w:type="dxa"/>
              <w:end w:w="90" w:type="dxa"/>
            </w:tcMar>
          </w:tcPr>
          <w:p>
            <w:pPr>
              <w:spacing w:after="0" w:line="252" w:lineRule="auto"/>
            </w:pPr>
            <w:r>
              <w:rPr>
                <w:rFonts w:ascii="Arial" w:hAnsi="Arial" w:eastAsia="Arial"/>
                <w:b w:val="0"/>
                <w:i w:val="0"/>
                <w:sz w:val="17"/>
              </w:rPr>
              <w:t>Article 5: principles</w:t>
            </w:r>
          </w:p>
        </w:tc>
        <w:tc>
          <w:tcPr>
            <w:tcW w:type="dxa" w:w="5904"/>
            <w:vAlign w:val="center"/>
            <w:tcMar>
              <w:top w:w="90" w:type="dxa"/>
              <w:start w:w="90" w:type="dxa"/>
              <w:bottom w:w="90" w:type="dxa"/>
              <w:end w:w="90" w:type="dxa"/>
            </w:tcMar>
          </w:tcPr>
          <w:p>
            <w:pPr>
              <w:spacing w:after="0" w:line="252" w:lineRule="auto"/>
            </w:pPr>
            <w:r>
              <w:rPr>
                <w:rFonts w:ascii="Arial" w:hAnsi="Arial" w:eastAsia="Arial"/>
                <w:b w:val="0"/>
                <w:i w:val="0"/>
                <w:sz w:val="17"/>
              </w:rPr>
              <w:t>Data minimization, purpose limitation, integrity/confidentiality, no PII stored directly on-chain</w:t>
            </w:r>
          </w:p>
        </w:tc>
        <w:tc>
          <w:tcPr>
            <w:tcW w:type="dxa" w:w="5904"/>
            <w:vAlign w:val="center"/>
            <w:tcMar>
              <w:top w:w="90" w:type="dxa"/>
              <w:start w:w="90" w:type="dxa"/>
              <w:bottom w:w="90" w:type="dxa"/>
              <w:end w:w="90" w:type="dxa"/>
            </w:tcMar>
          </w:tcPr>
          <w:p>
            <w:pPr>
              <w:spacing w:after="0" w:line="252" w:lineRule="auto"/>
            </w:pPr>
            <w:r>
              <w:rPr>
                <w:rFonts w:ascii="Arial" w:hAnsi="Arial" w:eastAsia="Arial"/>
                <w:b w:val="0"/>
                <w:i w:val="0"/>
                <w:sz w:val="17"/>
              </w:rPr>
              <w:t>Architecture review, ledger inspection, security tests</w:t>
            </w:r>
          </w:p>
        </w:tc>
      </w:tr>
      <w:tr>
        <w:tc>
          <w:tcPr>
            <w:tcW w:type="dxa" w:w="3456"/>
            <w:vAlign w:val="center"/>
            <w:tcMar>
              <w:top w:w="90" w:type="dxa"/>
              <w:start w:w="90" w:type="dxa"/>
              <w:bottom w:w="90" w:type="dxa"/>
              <w:end w:w="90" w:type="dxa"/>
            </w:tcMar>
            <w:shd w:fill="F6FAFD"/>
          </w:tcPr>
          <w:p>
            <w:pPr>
              <w:spacing w:after="0" w:line="252" w:lineRule="auto"/>
            </w:pPr>
            <w:r>
              <w:rPr>
                <w:rFonts w:ascii="Arial" w:hAnsi="Arial" w:eastAsia="Arial"/>
                <w:b w:val="0"/>
                <w:i w:val="0"/>
                <w:sz w:val="17"/>
              </w:rPr>
              <w:t>Article 6: lawful basis</w:t>
            </w:r>
          </w:p>
        </w:tc>
        <w:tc>
          <w:tcPr>
            <w:tcW w:type="dxa" w:w="5904"/>
            <w:vAlign w:val="center"/>
            <w:tcMar>
              <w:top w:w="90" w:type="dxa"/>
              <w:start w:w="90" w:type="dxa"/>
              <w:bottom w:w="90" w:type="dxa"/>
              <w:end w:w="90" w:type="dxa"/>
            </w:tcMar>
            <w:shd w:fill="F6FAFD"/>
          </w:tcPr>
          <w:p>
            <w:pPr>
              <w:spacing w:after="0" w:line="252" w:lineRule="auto"/>
            </w:pPr>
            <w:r>
              <w:rPr>
                <w:rFonts w:ascii="Arial" w:hAnsi="Arial" w:eastAsia="Arial"/>
                <w:b w:val="0"/>
                <w:i w:val="0"/>
                <w:sz w:val="17"/>
              </w:rPr>
              <w:t>Explicit consent flow for cross-clinic sharing, including purpose/requesting party details</w:t>
            </w:r>
          </w:p>
        </w:tc>
        <w:tc>
          <w:tcPr>
            <w:tcW w:type="dxa" w:w="5904"/>
            <w:vAlign w:val="center"/>
            <w:tcMar>
              <w:top w:w="90" w:type="dxa"/>
              <w:start w:w="90" w:type="dxa"/>
              <w:bottom w:w="90" w:type="dxa"/>
              <w:end w:w="90" w:type="dxa"/>
            </w:tcMar>
            <w:shd w:fill="F6FAFD"/>
          </w:tcPr>
          <w:p>
            <w:pPr>
              <w:spacing w:after="0" w:line="252" w:lineRule="auto"/>
            </w:pPr>
            <w:r>
              <w:rPr>
                <w:rFonts w:ascii="Arial" w:hAnsi="Arial" w:eastAsia="Arial"/>
                <w:b w:val="0"/>
                <w:i w:val="0"/>
                <w:sz w:val="17"/>
              </w:rPr>
              <w:t>Consent workflow tests, ledger TX IDs, patient screenshots</w:t>
            </w:r>
          </w:p>
        </w:tc>
      </w:tr>
      <w:tr>
        <w:tc>
          <w:tcPr>
            <w:tcW w:type="dxa" w:w="3456"/>
            <w:vAlign w:val="center"/>
            <w:tcMar>
              <w:top w:w="90" w:type="dxa"/>
              <w:start w:w="90" w:type="dxa"/>
              <w:bottom w:w="90" w:type="dxa"/>
              <w:end w:w="90" w:type="dxa"/>
            </w:tcMar>
          </w:tcPr>
          <w:p>
            <w:pPr>
              <w:spacing w:after="0" w:line="252" w:lineRule="auto"/>
            </w:pPr>
            <w:r>
              <w:rPr>
                <w:rFonts w:ascii="Arial" w:hAnsi="Arial" w:eastAsia="Arial"/>
                <w:b w:val="0"/>
                <w:i w:val="0"/>
                <w:sz w:val="17"/>
              </w:rPr>
              <w:t>Article 7: consent conditions, if included</w:t>
            </w:r>
          </w:p>
        </w:tc>
        <w:tc>
          <w:tcPr>
            <w:tcW w:type="dxa" w:w="5904"/>
            <w:vAlign w:val="center"/>
            <w:tcMar>
              <w:top w:w="90" w:type="dxa"/>
              <w:start w:w="90" w:type="dxa"/>
              <w:bottom w:w="90" w:type="dxa"/>
              <w:end w:w="90" w:type="dxa"/>
            </w:tcMar>
          </w:tcPr>
          <w:p>
            <w:pPr>
              <w:spacing w:after="0" w:line="252" w:lineRule="auto"/>
            </w:pPr>
            <w:r>
              <w:rPr>
                <w:rFonts w:ascii="Arial" w:hAnsi="Arial" w:eastAsia="Arial"/>
                <w:b w:val="0"/>
                <w:i w:val="0"/>
                <w:sz w:val="17"/>
              </w:rPr>
              <w:t>Ability to grant, reject, and withdraw/revoke consent; consent evidence is recorded</w:t>
            </w:r>
          </w:p>
        </w:tc>
        <w:tc>
          <w:tcPr>
            <w:tcW w:type="dxa" w:w="5904"/>
            <w:vAlign w:val="center"/>
            <w:tcMar>
              <w:top w:w="90" w:type="dxa"/>
              <w:start w:w="90" w:type="dxa"/>
              <w:bottom w:w="90" w:type="dxa"/>
              <w:end w:w="90" w:type="dxa"/>
            </w:tcMar>
          </w:tcPr>
          <w:p>
            <w:pPr>
              <w:spacing w:after="0" w:line="252" w:lineRule="auto"/>
            </w:pPr>
            <w:r>
              <w:rPr>
                <w:rFonts w:ascii="Arial" w:hAnsi="Arial" w:eastAsia="Arial"/>
                <w:b w:val="0"/>
                <w:i w:val="0"/>
                <w:sz w:val="17"/>
              </w:rPr>
              <w:t>Consent scenarios S1-S5</w:t>
            </w:r>
          </w:p>
        </w:tc>
      </w:tr>
      <w:tr>
        <w:tc>
          <w:tcPr>
            <w:tcW w:type="dxa" w:w="3456"/>
            <w:vAlign w:val="center"/>
            <w:tcMar>
              <w:top w:w="90" w:type="dxa"/>
              <w:start w:w="90" w:type="dxa"/>
              <w:bottom w:w="90" w:type="dxa"/>
              <w:end w:w="90" w:type="dxa"/>
            </w:tcMar>
            <w:shd w:fill="F6FAFD"/>
          </w:tcPr>
          <w:p>
            <w:pPr>
              <w:spacing w:after="0" w:line="252" w:lineRule="auto"/>
            </w:pPr>
            <w:r>
              <w:rPr>
                <w:rFonts w:ascii="Arial" w:hAnsi="Arial" w:eastAsia="Arial"/>
                <w:b w:val="0"/>
                <w:i w:val="0"/>
                <w:sz w:val="17"/>
              </w:rPr>
              <w:t>Article 17: erasure</w:t>
            </w:r>
          </w:p>
        </w:tc>
        <w:tc>
          <w:tcPr>
            <w:tcW w:type="dxa" w:w="5904"/>
            <w:vAlign w:val="center"/>
            <w:tcMar>
              <w:top w:w="90" w:type="dxa"/>
              <w:start w:w="90" w:type="dxa"/>
              <w:bottom w:w="90" w:type="dxa"/>
              <w:end w:w="90" w:type="dxa"/>
            </w:tcMar>
            <w:shd w:fill="F6FAFD"/>
          </w:tcPr>
          <w:p>
            <w:pPr>
              <w:spacing w:after="0" w:line="252" w:lineRule="auto"/>
            </w:pPr>
            <w:r>
              <w:rPr>
                <w:rFonts w:ascii="Arial" w:hAnsi="Arial" w:eastAsia="Arial"/>
                <w:b w:val="0"/>
                <w:i w:val="0"/>
                <w:sz w:val="17"/>
              </w:rPr>
              <w:t>Verify off-chain deletion/deactivation behavior and document blockchain immutability limitation</w:t>
            </w:r>
          </w:p>
        </w:tc>
        <w:tc>
          <w:tcPr>
            <w:tcW w:type="dxa" w:w="5904"/>
            <w:vAlign w:val="center"/>
            <w:tcMar>
              <w:top w:w="90" w:type="dxa"/>
              <w:start w:w="90" w:type="dxa"/>
              <w:bottom w:w="90" w:type="dxa"/>
              <w:end w:w="90" w:type="dxa"/>
            </w:tcMar>
            <w:shd w:fill="F6FAFD"/>
          </w:tcPr>
          <w:p>
            <w:pPr>
              <w:spacing w:after="0" w:line="252" w:lineRule="auto"/>
            </w:pPr>
            <w:r>
              <w:rPr>
                <w:rFonts w:ascii="Arial" w:hAnsi="Arial" w:eastAsia="Arial"/>
                <w:b w:val="0"/>
                <w:i w:val="0"/>
                <w:sz w:val="17"/>
              </w:rPr>
              <w:t>Delete/deactivate tests, database evidence, ledger review</w:t>
            </w:r>
          </w:p>
        </w:tc>
      </w:tr>
      <w:tr>
        <w:tc>
          <w:tcPr>
            <w:tcW w:type="dxa" w:w="3456"/>
            <w:vAlign w:val="center"/>
            <w:tcMar>
              <w:top w:w="90" w:type="dxa"/>
              <w:start w:w="90" w:type="dxa"/>
              <w:bottom w:w="90" w:type="dxa"/>
              <w:end w:w="90" w:type="dxa"/>
            </w:tcMar>
          </w:tcPr>
          <w:p>
            <w:pPr>
              <w:spacing w:after="0" w:line="252" w:lineRule="auto"/>
            </w:pPr>
            <w:r>
              <w:rPr>
                <w:rFonts w:ascii="Arial" w:hAnsi="Arial" w:eastAsia="Arial"/>
                <w:b w:val="0"/>
                <w:i w:val="0"/>
                <w:sz w:val="17"/>
              </w:rPr>
              <w:t>Article 25: privacy by design/default</w:t>
            </w:r>
          </w:p>
        </w:tc>
        <w:tc>
          <w:tcPr>
            <w:tcW w:type="dxa" w:w="5904"/>
            <w:vAlign w:val="center"/>
            <w:tcMar>
              <w:top w:w="90" w:type="dxa"/>
              <w:start w:w="90" w:type="dxa"/>
              <w:bottom w:w="90" w:type="dxa"/>
              <w:end w:w="90" w:type="dxa"/>
            </w:tcMar>
          </w:tcPr>
          <w:p>
            <w:pPr>
              <w:spacing w:after="0" w:line="252" w:lineRule="auto"/>
            </w:pPr>
            <w:r>
              <w:rPr>
                <w:rFonts w:ascii="Arial" w:hAnsi="Arial" w:eastAsia="Arial"/>
                <w:b w:val="0"/>
                <w:i w:val="0"/>
                <w:sz w:val="17"/>
              </w:rPr>
              <w:t>Default-deny access, role-based access, hybrid on-chain/off-chain architecture</w:t>
            </w:r>
          </w:p>
        </w:tc>
        <w:tc>
          <w:tcPr>
            <w:tcW w:type="dxa" w:w="5904"/>
            <w:vAlign w:val="center"/>
            <w:tcMar>
              <w:top w:w="90" w:type="dxa"/>
              <w:start w:w="90" w:type="dxa"/>
              <w:bottom w:w="90" w:type="dxa"/>
              <w:end w:w="90" w:type="dxa"/>
            </w:tcMar>
          </w:tcPr>
          <w:p>
            <w:pPr>
              <w:spacing w:after="0" w:line="252" w:lineRule="auto"/>
            </w:pPr>
            <w:r>
              <w:rPr>
                <w:rFonts w:ascii="Arial" w:hAnsi="Arial" w:eastAsia="Arial"/>
                <w:b w:val="0"/>
                <w:i w:val="0"/>
                <w:sz w:val="17"/>
              </w:rPr>
              <w:t>Functional/security test evidence</w:t>
            </w:r>
          </w:p>
        </w:tc>
      </w:tr>
      <w:tr>
        <w:tc>
          <w:tcPr>
            <w:tcW w:type="dxa" w:w="3456"/>
            <w:vAlign w:val="center"/>
            <w:tcMar>
              <w:top w:w="90" w:type="dxa"/>
              <w:start w:w="90" w:type="dxa"/>
              <w:bottom w:w="90" w:type="dxa"/>
              <w:end w:w="90" w:type="dxa"/>
            </w:tcMar>
            <w:shd w:fill="F6FAFD"/>
          </w:tcPr>
          <w:p>
            <w:pPr>
              <w:spacing w:after="0" w:line="252" w:lineRule="auto"/>
            </w:pPr>
            <w:r>
              <w:rPr>
                <w:rFonts w:ascii="Arial" w:hAnsi="Arial" w:eastAsia="Arial"/>
                <w:b w:val="0"/>
                <w:i w:val="0"/>
                <w:sz w:val="17"/>
              </w:rPr>
              <w:t>Article 32: security of processing</w:t>
            </w:r>
          </w:p>
        </w:tc>
        <w:tc>
          <w:tcPr>
            <w:tcW w:type="dxa" w:w="5904"/>
            <w:vAlign w:val="center"/>
            <w:tcMar>
              <w:top w:w="90" w:type="dxa"/>
              <w:start w:w="90" w:type="dxa"/>
              <w:bottom w:w="90" w:type="dxa"/>
              <w:end w:w="90" w:type="dxa"/>
            </w:tcMar>
            <w:shd w:fill="F6FAFD"/>
          </w:tcPr>
          <w:p>
            <w:pPr>
              <w:spacing w:after="0" w:line="252" w:lineRule="auto"/>
            </w:pPr>
            <w:r>
              <w:rPr>
                <w:rFonts w:ascii="Arial" w:hAnsi="Arial" w:eastAsia="Arial"/>
                <w:b w:val="0"/>
                <w:i w:val="0"/>
                <w:sz w:val="17"/>
              </w:rPr>
              <w:t>RBAC, TLS/mTLS, auditability, integrity checks, resilience evidence where available</w:t>
            </w:r>
          </w:p>
        </w:tc>
        <w:tc>
          <w:tcPr>
            <w:tcW w:type="dxa" w:w="5904"/>
            <w:vAlign w:val="center"/>
            <w:tcMar>
              <w:top w:w="90" w:type="dxa"/>
              <w:start w:w="90" w:type="dxa"/>
              <w:bottom w:w="90" w:type="dxa"/>
              <w:end w:w="90" w:type="dxa"/>
            </w:tcMar>
            <w:shd w:fill="F6FAFD"/>
          </w:tcPr>
          <w:p>
            <w:pPr>
              <w:spacing w:after="0" w:line="252" w:lineRule="auto"/>
            </w:pPr>
            <w:r>
              <w:rPr>
                <w:rFonts w:ascii="Arial" w:hAnsi="Arial" w:eastAsia="Arial"/>
                <w:b w:val="0"/>
                <w:i w:val="0"/>
                <w:sz w:val="17"/>
              </w:rPr>
              <w:t>Security tests, performance/reliability evidence, TLS checks</w:t>
            </w:r>
          </w:p>
        </w:tc>
      </w:tr>
    </w:tbl>
    <w:p/>
    <w:tbl>
      <w:tblPr>
        <w:tblW w:type="auto" w:w="0"/>
        <w:tblLayout w:type="autofit"/>
        <w:tblLook w:firstColumn="1" w:firstRow="1" w:lastColumn="0" w:lastRow="0" w:noHBand="0" w:noVBand="1" w:val="04A0"/>
      </w:tblPr>
      <w:tblGrid>
        <w:gridCol w:w="15420"/>
      </w:tblGrid>
      <w:tr>
        <w:tc>
          <w:tcPr>
            <w:tcW w:type="dxa" w:w="15420"/>
            <w:shd w:fill="EAF2F8"/>
            <w:tcMar>
              <w:top w:w="150" w:type="dxa"/>
              <w:start w:w="170" w:type="dxa"/>
              <w:bottom w:w="150" w:type="dxa"/>
              <w:end w:w="170" w:type="dxa"/>
            </w:tcMar>
          </w:tcPr>
          <w:p>
            <w:pPr>
              <w:spacing w:after="80"/>
            </w:pPr>
            <w:r>
              <w:rPr>
                <w:rFonts w:ascii="Arial" w:hAnsi="Arial" w:eastAsia="Arial"/>
                <w:b/>
                <w:i w:val="0"/>
                <w:color w:val="1F4E79"/>
                <w:sz w:val="21"/>
              </w:rPr>
              <w:t>Important GDPR interpretation note</w:t>
            </w:r>
          </w:p>
          <w:p>
            <w:pPr>
              <w:spacing w:after="0"/>
            </w:pPr>
            <w:r>
              <w:rPr>
                <w:rFonts w:ascii="Arial" w:hAnsi="Arial" w:eastAsia="Arial"/>
                <w:b w:val="0"/>
                <w:i w:val="0"/>
                <w:sz w:val="18"/>
              </w:rPr>
              <w:t>Because blockchain ledgers are immutable, historical on-chain transactions cannot be physically erased. The compliance assessment should therefore verify and document whether the system avoids storing PII directly on-chain and whether erasure/deletion applies to off-chain MySQL/file data. Any on-chain metadata or hashes that can reasonably be linked back to a person must be assessed carefully and may become a compliance gap depending on the final data design.</w:t>
            </w:r>
          </w:p>
        </w:tc>
      </w:tr>
    </w:tbl>
    <w:p/>
    <w:p>
      <w:r>
        <w:rPr>
          <w:rFonts w:ascii="Arial" w:hAnsi="Arial" w:eastAsia="Arial"/>
          <w:b w:val="0"/>
          <w:i w:val="0"/>
          <w:sz w:val="19"/>
        </w:rPr>
        <w:t>Out of scope:</w:t>
      </w:r>
    </w:p>
    <w:p>
      <w:pPr>
        <w:spacing w:after="40"/>
      </w:pPr>
      <w:r>
        <w:rPr>
          <w:rFonts w:ascii="Arial" w:hAnsi="Arial" w:eastAsia="Arial"/>
          <w:b w:val="0"/>
          <w:i w:val="0"/>
          <w:sz w:val="18"/>
        </w:rPr>
        <w:t>- Legal determination of GDPR applicability by jurisdiction.</w:t>
      </w:r>
    </w:p>
    <w:p>
      <w:pPr>
        <w:spacing w:after="40"/>
      </w:pPr>
      <w:r>
        <w:rPr>
          <w:rFonts w:ascii="Arial" w:hAnsi="Arial" w:eastAsia="Arial"/>
          <w:b w:val="0"/>
          <w:i w:val="0"/>
          <w:sz w:val="18"/>
        </w:rPr>
        <w:t>- Data Processing Agreement review.</w:t>
      </w:r>
    </w:p>
    <w:p>
      <w:pPr>
        <w:spacing w:after="40"/>
      </w:pPr>
      <w:r>
        <w:rPr>
          <w:rFonts w:ascii="Arial" w:hAnsi="Arial" w:eastAsia="Arial"/>
          <w:b w:val="0"/>
          <w:i w:val="0"/>
          <w:sz w:val="18"/>
        </w:rPr>
        <w:t>- Data Protection Impact Assessment authoring.</w:t>
      </w:r>
    </w:p>
    <w:p>
      <w:pPr>
        <w:spacing w:after="40"/>
      </w:pPr>
      <w:r>
        <w:rPr>
          <w:rFonts w:ascii="Arial" w:hAnsi="Arial" w:eastAsia="Arial"/>
          <w:b w:val="0"/>
          <w:i w:val="0"/>
          <w:sz w:val="18"/>
        </w:rPr>
        <w:t>- Privacy notice drafting.</w:t>
      </w:r>
    </w:p>
    <w:p>
      <w:pPr>
        <w:spacing w:after="40"/>
      </w:pPr>
      <w:r>
        <w:rPr>
          <w:rFonts w:ascii="Arial" w:hAnsi="Arial" w:eastAsia="Arial"/>
          <w:b w:val="0"/>
          <w:i w:val="0"/>
          <w:sz w:val="18"/>
        </w:rPr>
        <w:t>- Implementing data subject rights workflows beyond testing what exists.</w:t>
      </w:r>
    </w:p>
    <w:p>
      <w:pPr>
        <w:pStyle w:val="Heading1"/>
      </w:pPr>
      <w:r>
        <w:t>14. Consent Workflow Verification Scope</w:t>
      </w:r>
    </w:p>
    <w:p>
      <w:r>
        <w:rPr>
          <w:rFonts w:ascii="Arial" w:hAnsi="Arial" w:eastAsia="Arial"/>
          <w:b w:val="0"/>
          <w:i w:val="0"/>
          <w:sz w:val="19"/>
        </w:rPr>
        <w:t>The five consent scenarios required by the testing specification will be executed and documented:</w:t>
      </w:r>
    </w:p>
    <w:p>
      <w:pPr>
        <w:spacing w:after="40"/>
      </w:pPr>
      <w:r>
        <w:rPr>
          <w:rFonts w:ascii="Arial" w:hAnsi="Arial" w:eastAsia="Arial"/>
          <w:b w:val="0"/>
          <w:i w:val="0"/>
          <w:sz w:val="18"/>
        </w:rPr>
        <w:t>- S1: Admin approves, patient grants, access is granted and logged.</w:t>
      </w:r>
    </w:p>
    <w:p>
      <w:pPr>
        <w:spacing w:after="40"/>
      </w:pPr>
      <w:r>
        <w:rPr>
          <w:rFonts w:ascii="Arial" w:hAnsi="Arial" w:eastAsia="Arial"/>
          <w:b w:val="0"/>
          <w:i w:val="0"/>
          <w:sz w:val="18"/>
        </w:rPr>
        <w:t>- S2: Admin rejects, access is denied.</w:t>
      </w:r>
    </w:p>
    <w:p>
      <w:pPr>
        <w:spacing w:after="40"/>
      </w:pPr>
      <w:r>
        <w:rPr>
          <w:rFonts w:ascii="Arial" w:hAnsi="Arial" w:eastAsia="Arial"/>
          <w:b w:val="0"/>
          <w:i w:val="0"/>
          <w:sz w:val="18"/>
        </w:rPr>
        <w:t>- S3: Admin approves, patient rejects, access is denied.</w:t>
      </w:r>
    </w:p>
    <w:p>
      <w:pPr>
        <w:spacing w:after="40"/>
      </w:pPr>
      <w:r>
        <w:rPr>
          <w:rFonts w:ascii="Arial" w:hAnsi="Arial" w:eastAsia="Arial"/>
          <w:b w:val="0"/>
          <w:i w:val="0"/>
          <w:sz w:val="18"/>
        </w:rPr>
        <w:t>- S4: Admin approves, patient does not respond, status remains pending/access denied.</w:t>
      </w:r>
    </w:p>
    <w:p>
      <w:pPr>
        <w:spacing w:after="40"/>
      </w:pPr>
      <w:r>
        <w:rPr>
          <w:rFonts w:ascii="Arial" w:hAnsi="Arial" w:eastAsia="Arial"/>
          <w:b w:val="0"/>
          <w:i w:val="0"/>
          <w:sz w:val="18"/>
        </w:rPr>
        <w:t>- S5: Patient grants and later revokes, access is withdrawn/revocation is logged.</w:t>
      </w:r>
    </w:p>
    <w:p>
      <w:r>
        <w:rPr>
          <w:rFonts w:ascii="Arial" w:hAnsi="Arial" w:eastAsia="Arial"/>
          <w:b w:val="0"/>
          <w:i w:val="0"/>
          <w:sz w:val="19"/>
        </w:rPr>
        <w:t>For each scenario, testing will capture:</w:t>
      </w:r>
    </w:p>
    <w:p>
      <w:pPr>
        <w:spacing w:after="40"/>
      </w:pPr>
      <w:r>
        <w:rPr>
          <w:rFonts w:ascii="Arial" w:hAnsi="Arial" w:eastAsia="Arial"/>
          <w:b w:val="0"/>
          <w:i w:val="0"/>
          <w:sz w:val="18"/>
        </w:rPr>
        <w:t>- Transaction IDs for every state-changing event.</w:t>
      </w:r>
    </w:p>
    <w:p>
      <w:pPr>
        <w:spacing w:after="40"/>
      </w:pPr>
      <w:r>
        <w:rPr>
          <w:rFonts w:ascii="Arial" w:hAnsi="Arial" w:eastAsia="Arial"/>
          <w:b w:val="0"/>
          <w:i w:val="0"/>
          <w:sz w:val="18"/>
        </w:rPr>
        <w:t>- Ledger timestamp where available.</w:t>
      </w:r>
    </w:p>
    <w:p>
      <w:pPr>
        <w:spacing w:after="40"/>
      </w:pPr>
      <w:r>
        <w:rPr>
          <w:rFonts w:ascii="Arial" w:hAnsi="Arial" w:eastAsia="Arial"/>
          <w:b w:val="0"/>
          <w:i w:val="0"/>
          <w:sz w:val="18"/>
        </w:rPr>
        <w:t>- Actor MSP identity.</w:t>
      </w:r>
    </w:p>
    <w:p>
      <w:pPr>
        <w:spacing w:after="40"/>
      </w:pPr>
      <w:r>
        <w:rPr>
          <w:rFonts w:ascii="Arial" w:hAnsi="Arial" w:eastAsia="Arial"/>
          <w:b w:val="0"/>
          <w:i w:val="0"/>
          <w:sz w:val="18"/>
        </w:rPr>
        <w:t>- Final consent/access state.</w:t>
      </w:r>
    </w:p>
    <w:p>
      <w:pPr>
        <w:spacing w:after="40"/>
      </w:pPr>
      <w:r>
        <w:rPr>
          <w:rFonts w:ascii="Arial" w:hAnsi="Arial" w:eastAsia="Arial"/>
          <w:b w:val="0"/>
          <w:i w:val="0"/>
          <w:sz w:val="18"/>
        </w:rPr>
        <w:t>- API response body.</w:t>
      </w:r>
    </w:p>
    <w:p>
      <w:pPr>
        <w:spacing w:after="40"/>
      </w:pPr>
      <w:r>
        <w:rPr>
          <w:rFonts w:ascii="Arial" w:hAnsi="Arial" w:eastAsia="Arial"/>
          <w:b w:val="0"/>
          <w:i w:val="0"/>
          <w:sz w:val="18"/>
        </w:rPr>
        <w:t>- Screenshot or log evidence.</w:t>
      </w:r>
    </w:p>
    <w:p>
      <w:r>
        <w:rPr>
          <w:rFonts w:ascii="Arial" w:hAnsi="Arial" w:eastAsia="Arial"/>
          <w:b w:val="0"/>
          <w:i w:val="0"/>
          <w:sz w:val="19"/>
        </w:rPr>
        <w:t>Out of scope:</w:t>
      </w:r>
    </w:p>
    <w:p>
      <w:pPr>
        <w:spacing w:after="40"/>
      </w:pPr>
      <w:r>
        <w:rPr>
          <w:rFonts w:ascii="Arial" w:hAnsi="Arial" w:eastAsia="Arial"/>
          <w:b w:val="0"/>
          <w:i w:val="0"/>
          <w:sz w:val="18"/>
        </w:rPr>
        <w:t>- Implementing missing revoke behavior if the chaincode does not support it.</w:t>
      </w:r>
    </w:p>
    <w:p>
      <w:pPr>
        <w:spacing w:after="40"/>
      </w:pPr>
      <w:r>
        <w:rPr>
          <w:rFonts w:ascii="Arial" w:hAnsi="Arial" w:eastAsia="Arial"/>
          <w:b w:val="0"/>
          <w:i w:val="0"/>
          <w:sz w:val="18"/>
        </w:rPr>
        <w:t>- Building notification delivery infrastructure.</w:t>
      </w:r>
    </w:p>
    <w:p>
      <w:pPr>
        <w:spacing w:after="40"/>
      </w:pPr>
      <w:r>
        <w:rPr>
          <w:rFonts w:ascii="Arial" w:hAnsi="Arial" w:eastAsia="Arial"/>
          <w:b w:val="0"/>
          <w:i w:val="0"/>
          <w:sz w:val="18"/>
        </w:rPr>
        <w:t>- Changing mobile UI behavior.</w:t>
      </w:r>
    </w:p>
    <w:p>
      <w:pPr>
        <w:pStyle w:val="Heading1"/>
      </w:pPr>
      <w:r>
        <w:t>15. Evidence and Reporting Standards</w:t>
      </w:r>
    </w:p>
    <w:p>
      <w:r>
        <w:rPr>
          <w:rFonts w:ascii="Arial" w:hAnsi="Arial" w:eastAsia="Arial"/>
          <w:b w:val="0"/>
          <w:i w:val="0"/>
          <w:sz w:val="19"/>
        </w:rPr>
        <w:t>Every pass/fail result should map to one or more evidence items:</w:t>
      </w:r>
    </w:p>
    <w:p>
      <w:pPr>
        <w:spacing w:after="40"/>
      </w:pPr>
      <w:r>
        <w:rPr>
          <w:rFonts w:ascii="Arial" w:hAnsi="Arial" w:eastAsia="Arial"/>
          <w:b w:val="0"/>
          <w:i w:val="0"/>
          <w:sz w:val="18"/>
        </w:rPr>
        <w:t>- Test case ID.</w:t>
      </w:r>
    </w:p>
    <w:p>
      <w:pPr>
        <w:spacing w:after="40"/>
      </w:pPr>
      <w:r>
        <w:rPr>
          <w:rFonts w:ascii="Arial" w:hAnsi="Arial" w:eastAsia="Arial"/>
          <w:b w:val="0"/>
          <w:i w:val="0"/>
          <w:sz w:val="18"/>
        </w:rPr>
        <w:t>- Tool output file.</w:t>
      </w:r>
    </w:p>
    <w:p>
      <w:pPr>
        <w:spacing w:after="40"/>
      </w:pPr>
      <w:r>
        <w:rPr>
          <w:rFonts w:ascii="Arial" w:hAnsi="Arial" w:eastAsia="Arial"/>
          <w:b w:val="0"/>
          <w:i w:val="0"/>
          <w:sz w:val="18"/>
        </w:rPr>
        <w:t>- Screenshot filename.</w:t>
      </w:r>
    </w:p>
    <w:p>
      <w:pPr>
        <w:spacing w:after="40"/>
      </w:pPr>
      <w:r>
        <w:rPr>
          <w:rFonts w:ascii="Arial" w:hAnsi="Arial" w:eastAsia="Arial"/>
          <w:b w:val="0"/>
          <w:i w:val="0"/>
          <w:sz w:val="18"/>
        </w:rPr>
        <w:t>- API response or chaincode response.</w:t>
      </w:r>
    </w:p>
    <w:p>
      <w:pPr>
        <w:spacing w:after="40"/>
      </w:pPr>
      <w:r>
        <w:rPr>
          <w:rFonts w:ascii="Arial" w:hAnsi="Arial" w:eastAsia="Arial"/>
          <w:b w:val="0"/>
          <w:i w:val="0"/>
          <w:sz w:val="18"/>
        </w:rPr>
        <w:t>- Ledger transaction ID.</w:t>
      </w:r>
    </w:p>
    <w:p>
      <w:pPr>
        <w:spacing w:after="40"/>
      </w:pPr>
      <w:r>
        <w:rPr>
          <w:rFonts w:ascii="Arial" w:hAnsi="Arial" w:eastAsia="Arial"/>
          <w:b w:val="0"/>
          <w:i w:val="0"/>
          <w:sz w:val="18"/>
        </w:rPr>
        <w:t>- Docker/Kubernetes metric output.</w:t>
      </w:r>
    </w:p>
    <w:p>
      <w:pPr>
        <w:spacing w:after="40"/>
      </w:pPr>
      <w:r>
        <w:rPr>
          <w:rFonts w:ascii="Arial" w:hAnsi="Arial" w:eastAsia="Arial"/>
          <w:b w:val="0"/>
          <w:i w:val="0"/>
          <w:sz w:val="18"/>
        </w:rPr>
        <w:t>- Defect ID where applicable.</w:t>
      </w:r>
    </w:p>
    <w:p>
      <w:r>
        <w:rPr>
          <w:rFonts w:ascii="Arial" w:hAnsi="Arial" w:eastAsia="Arial"/>
          <w:b w:val="0"/>
          <w:i w:val="0"/>
          <w:sz w:val="19"/>
        </w:rPr>
        <w:t>Raw evidence must be reproducible and included in the raw data ZIP with a README describing how each file was generated.</w:t>
      </w:r>
    </w:p>
    <w:p>
      <w:pPr>
        <w:pStyle w:val="Heading1"/>
      </w:pPr>
      <w:r>
        <w:t>16. Key Assumptions and Client Responsibilities</w:t>
      </w:r>
    </w:p>
    <w:p>
      <w:r>
        <w:rPr>
          <w:rFonts w:ascii="Arial" w:hAnsi="Arial" w:eastAsia="Arial"/>
          <w:b w:val="0"/>
          <w:i w:val="0"/>
          <w:sz w:val="19"/>
        </w:rPr>
        <w:t>The dependency table in Section 5 identifies the minimum inputs required to execute the full scope. In summary, the client/project team must provide:</w:t>
      </w:r>
    </w:p>
    <w:p>
      <w:pPr>
        <w:spacing w:after="40"/>
      </w:pPr>
      <w:r>
        <w:rPr>
          <w:rFonts w:ascii="Arial" w:hAnsi="Arial" w:eastAsia="Arial"/>
          <w:b w:val="0"/>
          <w:i w:val="0"/>
          <w:sz w:val="18"/>
        </w:rPr>
        <w:t>- Source code repositories for chaincode, API, web, and mobile apps.</w:t>
      </w:r>
    </w:p>
    <w:p>
      <w:pPr>
        <w:spacing w:after="40"/>
      </w:pPr>
      <w:r>
        <w:rPr>
          <w:rFonts w:ascii="Arial" w:hAnsi="Arial" w:eastAsia="Arial"/>
          <w:b w:val="0"/>
          <w:i w:val="0"/>
          <w:sz w:val="18"/>
        </w:rPr>
        <w:t>- Docker Compose files and/or Kubernetes manifests.</w:t>
      </w:r>
    </w:p>
    <w:p>
      <w:pPr>
        <w:spacing w:after="40"/>
      </w:pPr>
      <w:r>
        <w:rPr>
          <w:rFonts w:ascii="Arial" w:hAnsi="Arial" w:eastAsia="Arial"/>
          <w:b w:val="0"/>
          <w:i w:val="0"/>
          <w:sz w:val="18"/>
        </w:rPr>
        <w:t>- System version under test.</w:t>
      </w:r>
    </w:p>
    <w:p>
      <w:pPr>
        <w:spacing w:after="40"/>
      </w:pPr>
      <w:r>
        <w:rPr>
          <w:rFonts w:ascii="Arial" w:hAnsi="Arial" w:eastAsia="Arial"/>
          <w:b w:val="0"/>
          <w:i w:val="0"/>
          <w:sz w:val="18"/>
        </w:rPr>
        <w:t>- Test environment access and authorization.</w:t>
      </w:r>
    </w:p>
    <w:p>
      <w:pPr>
        <w:spacing w:after="40"/>
      </w:pPr>
      <w:r>
        <w:rPr>
          <w:rFonts w:ascii="Arial" w:hAnsi="Arial" w:eastAsia="Arial"/>
          <w:b w:val="0"/>
          <w:i w:val="0"/>
          <w:sz w:val="18"/>
        </w:rPr>
        <w:t>- Fabric connection profiles and role-specific identities.</w:t>
      </w:r>
    </w:p>
    <w:p>
      <w:pPr>
        <w:spacing w:after="40"/>
      </w:pPr>
      <w:r>
        <w:rPr>
          <w:rFonts w:ascii="Arial" w:hAnsi="Arial" w:eastAsia="Arial"/>
          <w:b w:val="0"/>
          <w:i w:val="0"/>
          <w:sz w:val="18"/>
        </w:rPr>
        <w:t>- Admin, Doctor, and Patient test accounts.</w:t>
      </w:r>
    </w:p>
    <w:p>
      <w:pPr>
        <w:spacing w:after="40"/>
      </w:pPr>
      <w:r>
        <w:rPr>
          <w:rFonts w:ascii="Arial" w:hAnsi="Arial" w:eastAsia="Arial"/>
          <w:b w:val="0"/>
          <w:i w:val="0"/>
          <w:sz w:val="18"/>
        </w:rPr>
        <w:t>- Synthetic patient and dental records.</w:t>
      </w:r>
    </w:p>
    <w:p>
      <w:pPr>
        <w:spacing w:after="40"/>
      </w:pPr>
      <w:r>
        <w:rPr>
          <w:rFonts w:ascii="Arial" w:hAnsi="Arial" w:eastAsia="Arial"/>
          <w:b w:val="0"/>
          <w:i w:val="0"/>
          <w:sz w:val="18"/>
        </w:rPr>
        <w:t>- API endpoint list or OpenAPI/Postman-equivalent collection, if available.</w:t>
      </w:r>
    </w:p>
    <w:p>
      <w:pPr>
        <w:spacing w:after="40"/>
      </w:pPr>
      <w:r>
        <w:rPr>
          <w:rFonts w:ascii="Arial" w:hAnsi="Arial" w:eastAsia="Arial"/>
          <w:b w:val="0"/>
          <w:i w:val="0"/>
          <w:sz w:val="18"/>
        </w:rPr>
        <w:t>- Any explicit CPU/memory/latency/throughput thresholds not already stated in the SRS.</w:t>
      </w:r>
    </w:p>
    <w:p>
      <w:pPr>
        <w:spacing w:after="40"/>
      </w:pPr>
      <w:r>
        <w:rPr>
          <w:rFonts w:ascii="Arial" w:hAnsi="Arial" w:eastAsia="Arial"/>
          <w:b w:val="0"/>
          <w:i w:val="0"/>
          <w:sz w:val="18"/>
        </w:rPr>
        <w:t>- Agreement that testing may generate, modify, and delete synthetic test records.</w:t>
      </w:r>
    </w:p>
    <w:p>
      <w:pPr>
        <w:spacing w:after="40"/>
      </w:pPr>
      <w:r>
        <w:rPr>
          <w:rFonts w:ascii="Arial" w:hAnsi="Arial" w:eastAsia="Arial"/>
          <w:b w:val="0"/>
          <w:i w:val="0"/>
          <w:sz w:val="18"/>
        </w:rPr>
        <w:t>- Confirmation that no production patient data will be used unless separately governed.</w:t>
      </w:r>
    </w:p>
    <w:p>
      <w:pPr>
        <w:pStyle w:val="Heading1"/>
      </w:pPr>
      <w:r>
        <w:t>17. Open Items Before Command Runbook</w:t>
      </w:r>
    </w:p>
    <w:p>
      <w:r>
        <w:rPr>
          <w:rFonts w:ascii="Arial" w:hAnsi="Arial" w:eastAsia="Arial"/>
          <w:b w:val="0"/>
          <w:i w:val="0"/>
          <w:sz w:val="19"/>
        </w:rPr>
        <w:t>Before producing exact commands, the following must be confirmed:</w:t>
      </w:r>
    </w:p>
    <w:p>
      <w:pPr>
        <w:spacing w:after="40"/>
      </w:pPr>
      <w:r>
        <w:rPr>
          <w:rFonts w:ascii="Arial" w:hAnsi="Arial" w:eastAsia="Arial"/>
          <w:b w:val="0"/>
          <w:i w:val="0"/>
          <w:sz w:val="18"/>
        </w:rPr>
        <w:t>- Repository layout and branch/tag to test.</w:t>
      </w:r>
    </w:p>
    <w:p>
      <w:pPr>
        <w:spacing w:after="40"/>
      </w:pPr>
      <w:r>
        <w:rPr>
          <w:rFonts w:ascii="Arial" w:hAnsi="Arial" w:eastAsia="Arial"/>
          <w:b w:val="0"/>
          <w:i w:val="0"/>
          <w:sz w:val="18"/>
        </w:rPr>
        <w:t>- Chaincode package path and exact chaincode name/channel.</w:t>
      </w:r>
    </w:p>
    <w:p>
      <w:pPr>
        <w:spacing w:after="40"/>
      </w:pPr>
      <w:r>
        <w:rPr>
          <w:rFonts w:ascii="Arial" w:hAnsi="Arial" w:eastAsia="Arial"/>
          <w:b w:val="0"/>
          <w:i w:val="0"/>
          <w:sz w:val="18"/>
        </w:rPr>
        <w:t>- Whether Caliper is already configured.</w:t>
      </w:r>
    </w:p>
    <w:p>
      <w:pPr>
        <w:spacing w:after="40"/>
      </w:pPr>
      <w:r>
        <w:rPr>
          <w:rFonts w:ascii="Arial" w:hAnsi="Arial" w:eastAsia="Arial"/>
          <w:b w:val="0"/>
          <w:i w:val="0"/>
          <w:sz w:val="18"/>
        </w:rPr>
        <w:t xml:space="preserve">- Whether the missing </w:t>
      </w:r>
      <w:r>
        <w:rPr>
          <w:rFonts w:ascii="Consolas" w:hAnsi="Consolas" w:eastAsia="Consolas"/>
          <w:b w:val="0"/>
          <w:i w:val="0"/>
          <w:sz w:val="18"/>
        </w:rPr>
        <w:t>TP-EDR-001</w:t>
      </w:r>
      <w:r>
        <w:rPr>
          <w:rFonts w:ascii="Arial" w:hAnsi="Arial" w:eastAsia="Arial"/>
          <w:b w:val="0"/>
          <w:i w:val="0"/>
          <w:sz w:val="18"/>
        </w:rPr>
        <w:t xml:space="preserve"> test case document exists and can be provided.</w:t>
      </w:r>
    </w:p>
    <w:p>
      <w:pPr>
        <w:spacing w:after="40"/>
      </w:pPr>
      <w:r>
        <w:rPr>
          <w:rFonts w:ascii="Arial" w:hAnsi="Arial" w:eastAsia="Arial"/>
          <w:b w:val="0"/>
          <w:i w:val="0"/>
          <w:sz w:val="18"/>
        </w:rPr>
        <w:t>- Whether OpenAPI/API collection exists.</w:t>
      </w:r>
    </w:p>
    <w:p>
      <w:pPr>
        <w:spacing w:after="40"/>
      </w:pPr>
      <w:r>
        <w:rPr>
          <w:rFonts w:ascii="Arial" w:hAnsi="Arial" w:eastAsia="Arial"/>
          <w:b w:val="0"/>
          <w:i w:val="0"/>
          <w:sz w:val="18"/>
        </w:rPr>
        <w:t>- Whether mobile testing will use a physical device, emulator, simulator, or provided screenshots from the deployed patient app.</w:t>
      </w:r>
    </w:p>
    <w:p>
      <w:pPr>
        <w:spacing w:after="40"/>
      </w:pPr>
      <w:r>
        <w:rPr>
          <w:rFonts w:ascii="Arial" w:hAnsi="Arial" w:eastAsia="Arial"/>
          <w:b w:val="0"/>
          <w:i w:val="0"/>
          <w:sz w:val="18"/>
        </w:rPr>
        <w:t>- Whether Kubernetes environment is available or must be proposed only as an enhancement.</w:t>
      </w:r>
    </w:p>
    <w:p>
      <w:pPr>
        <w:spacing w:after="40"/>
      </w:pPr>
      <w:r>
        <w:rPr>
          <w:rFonts w:ascii="Arial" w:hAnsi="Arial" w:eastAsia="Arial"/>
          <w:b w:val="0"/>
          <w:i w:val="0"/>
          <w:sz w:val="18"/>
        </w:rPr>
        <w:t>- Required CPU/memory resource thresholds for pass/fail decisions.</w:t>
      </w:r>
    </w:p>
    <w:p>
      <w:pPr>
        <w:spacing w:after="40"/>
      </w:pPr>
      <w:r>
        <w:rPr>
          <w:rFonts w:ascii="Arial" w:hAnsi="Arial" w:eastAsia="Arial"/>
          <w:b w:val="0"/>
          <w:i w:val="0"/>
          <w:sz w:val="18"/>
        </w:rPr>
        <w:t>- Whether re-testing after remediation is included.</w:t>
      </w:r>
    </w:p>
    <w:p>
      <w:pPr>
        <w:pStyle w:val="Heading1"/>
        <w:pageBreakBefore/>
      </w:pPr>
      <w:r>
        <w:t>18. Reference Sources for Tool and Regulatory Alignment</w:t>
      </w:r>
    </w:p>
    <w:p>
      <w:pPr>
        <w:spacing w:after="40"/>
      </w:pPr>
      <w:r>
        <w:rPr>
          <w:rFonts w:ascii="Arial" w:hAnsi="Arial" w:eastAsia="Arial"/>
          <w:b w:val="0"/>
          <w:i w:val="0"/>
          <w:sz w:val="17"/>
        </w:rPr>
        <w:t>- OWASP ZAP Docker baseline scan documentation: https://www.zaproxy.org/docs/docker/baseline-scan/</w:t>
      </w:r>
    </w:p>
    <w:p>
      <w:pPr>
        <w:spacing w:after="40"/>
      </w:pPr>
      <w:r>
        <w:rPr>
          <w:rFonts w:ascii="Arial" w:hAnsi="Arial" w:eastAsia="Arial"/>
          <w:b w:val="0"/>
          <w:i w:val="0"/>
          <w:sz w:val="17"/>
        </w:rPr>
        <w:t>- Hyperledger Caliper project documentation/repository: https://github.com/hyperledger-caliper/caliper</w:t>
      </w:r>
    </w:p>
    <w:p>
      <w:pPr>
        <w:spacing w:after="40"/>
      </w:pPr>
      <w:r>
        <w:rPr>
          <w:rFonts w:ascii="Arial" w:hAnsi="Arial" w:eastAsia="Arial"/>
          <w:b w:val="0"/>
          <w:i w:val="0"/>
          <w:sz w:val="17"/>
        </w:rPr>
        <w:t>- k6 load testing documentation: https://k6.io/docs/</w:t>
      </w:r>
    </w:p>
    <w:p>
      <w:pPr>
        <w:spacing w:after="40"/>
      </w:pPr>
      <w:r>
        <w:rPr>
          <w:rFonts w:ascii="Arial" w:hAnsi="Arial" w:eastAsia="Arial"/>
          <w:b w:val="0"/>
          <w:i w:val="0"/>
          <w:sz w:val="17"/>
        </w:rPr>
        <w:t>- Kubernetes Horizontal Pod Autoscaling documentation: https://kubernetes.io/docs/concepts/workloads/autoscaling/horizontal-pod-autoscale/</w:t>
      </w:r>
    </w:p>
    <w:p>
      <w:pPr>
        <w:spacing w:after="40"/>
      </w:pPr>
      <w:r>
        <w:rPr>
          <w:rFonts w:ascii="Arial" w:hAnsi="Arial" w:eastAsia="Arial"/>
          <w:b w:val="0"/>
          <w:i w:val="0"/>
          <w:sz w:val="17"/>
        </w:rPr>
        <w:t>- Kubernetes Metrics Server documentation: https://github.com/kubernetes-sigs/metrics-server</w:t>
      </w:r>
    </w:p>
    <w:p>
      <w:pPr>
        <w:spacing w:after="40"/>
      </w:pPr>
      <w:r>
        <w:rPr>
          <w:rFonts w:ascii="Arial" w:hAnsi="Arial" w:eastAsia="Arial"/>
          <w:b w:val="0"/>
          <w:i w:val="0"/>
          <w:sz w:val="17"/>
        </w:rPr>
        <w:t>- HHS HIPAA Security Rule summary: https://www.hhs.gov/hipaa/for-professionals/security/</w:t>
      </w:r>
    </w:p>
    <w:p>
      <w:pPr>
        <w:spacing w:after="40"/>
      </w:pPr>
      <w:r>
        <w:rPr>
          <w:rFonts w:ascii="Arial" w:hAnsi="Arial" w:eastAsia="Arial"/>
          <w:b w:val="0"/>
          <w:i w:val="0"/>
          <w:sz w:val="17"/>
        </w:rPr>
        <w:t>- 45 CFR 164.312 technical safeguards: https://www.law.cornell.edu/cfr/text/45/164.312</w:t>
      </w:r>
    </w:p>
    <w:p>
      <w:pPr>
        <w:spacing w:after="40"/>
      </w:pPr>
      <w:r>
        <w:rPr>
          <w:rFonts w:ascii="Arial" w:hAnsi="Arial" w:eastAsia="Arial"/>
          <w:b w:val="0"/>
          <w:i w:val="0"/>
          <w:sz w:val="17"/>
        </w:rPr>
        <w:t>- GDPR official text, Regulation (EU) 2016/679: https://eur-lex.europa.eu/eli/reg/2016/679/art_32/oj/eng</w:t>
      </w:r>
    </w:p>
    <w:sectPr w:rsidR="00FC693F" w:rsidRPr="0006063C" w:rsidSect="00034616">
      <w:footerReference w:type="default" r:id="rId9"/>
      <w:pgSz w:w="16838" w:h="11906" w:orient="landscape"/>
      <w:pgMar w:top="652" w:right="709" w:bottom="652" w:left="70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6B7280"/>
        <w:sz w:val="16"/>
      </w:rPr>
      <w:t>EDR Testing Services Tooling and Scope Mapping | Draft 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rPr>
      <w:rFonts w:ascii="Arial" w:hAnsi="Arial" w:eastAsia="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EDR Testing Services Tooling and Scope Mapping</dc:title>
  <dc:subject>Testing scope, tool mapping, evidence, and exclusions</dc:subject>
  <dc:creator>Synergic testing services scope alignment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