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DOMAS Calibrated Scores — Model Cards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domas-calibrated-scores--model-cards"/>
    <w:p>
      <w:pPr>
        <w:pStyle w:val="Heading1"/>
      </w:pPr>
      <w:r>
        <w:t xml:space="preserve">DOMAS calibrated scores — model cards</w:t>
      </w:r>
    </w:p>
    <w:p>
      <w:pPr>
        <w:pStyle w:val="FirstParagraph"/>
      </w:pPr>
      <w:r>
        <w:t xml:space="preserve">DOMAS emits two</w:t>
      </w:r>
      <w:r>
        <w:t xml:space="preserve"> </w:t>
      </w:r>
      <w:r>
        <w:rPr>
          <w:b/>
          <w:bCs/>
        </w:rPr>
        <w:t xml:space="preserve">calibrated probability</w:t>
      </w:r>
      <w:r>
        <w:t xml:space="preserve"> </w:t>
      </w:r>
      <w:r>
        <w:t xml:space="preserve">scores alongside the categorical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level, one per axis of alternative-splicing consequence: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gene-grouped 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fold_change_prob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t xml:space="preserve">Does the alternative isoform adopt a</w:t>
            </w:r>
            <w:r>
              <w:t xml:space="preserve"> </w:t>
            </w:r>
            <w:r>
              <w:rPr>
                <w:i/>
                <w:iCs/>
              </w:rPr>
              <w:t xml:space="preserve">different 3-D fold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impact_prob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Is the changed region</w:t>
            </w:r>
            <w:r>
              <w:t xml:space="preserve"> </w:t>
            </w:r>
            <w:r>
              <w:rPr>
                <w:i/>
                <w:iCs/>
              </w:rPr>
              <w:t xml:space="preserve">functionally important</w:t>
            </w:r>
            <w:r>
              <w:t xml:space="preserve"> </w:t>
            </w:r>
            <w:r>
              <w:t xml:space="preserve">(pathogenic-variant-like)?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</w:tr>
    </w:tbl>
    <w:p>
      <w:pPr>
        <w:pStyle w:val="BodyText"/>
      </w:pPr>
      <w:r>
        <w:t xml:space="preserve">They are deliberately different questions ("fold-vs-function duality"): a change can</w:t>
      </w:r>
      <w:r>
        <w:t xml:space="preserve"> </w:t>
      </w:r>
      <w:r>
        <w:t xml:space="preserve">preserve the fold yet abolish function, or wreck the fold while being biologically</w:t>
      </w:r>
      <w:r>
        <w:t xml:space="preserve"> </w:t>
      </w:r>
      <w:r>
        <w:t xml:space="preserve">silent. Each score is a logistic regression over a small set of interpretable features,</w:t>
      </w:r>
      <w:r>
        <w:t xml:space="preserve"> </w:t>
      </w:r>
      <w:r>
        <w:rPr>
          <w:b/>
          <w:bCs/>
        </w:rPr>
        <w:t xml:space="preserve">natively calibrated</w:t>
      </w:r>
      <w:r>
        <w:t xml:space="preserve"> </w:t>
      </w:r>
      <w:r>
        <w:t xml:space="preserve">(a predicted 0.6 really means ~60%), reported throughout under</w:t>
      </w:r>
      <w:r>
        <w:t xml:space="preserve"> </w:t>
      </w:r>
      <w:r>
        <w:rPr>
          <w:b/>
          <w:bCs/>
        </w:rPr>
        <w:t xml:space="preserve">gene-grouped 5-fold cross-validation</w:t>
      </w:r>
      <w:r>
        <w:t xml:space="preserve"> </w:t>
      </w:r>
      <w:r>
        <w:t xml:space="preserve">(every isoform of a gene is confined to one</w:t>
      </w:r>
      <w:r>
        <w:t xml:space="preserve"> </w:t>
      </w:r>
      <w:r>
        <w:t xml:space="preserve">fold, so no protein appears in both train and test — no leakage).</w:t>
      </w:r>
    </w:p>
    <w:p>
      <w:pPr>
        <w:pStyle w:val="BodyText"/>
      </w:pPr>
      <w:r>
        <w:t xml:space="preserve">Everything below is reproduced end-to-end by</w:t>
      </w:r>
      <w:r>
        <w:t xml:space="preserve"> </w:t>
      </w:r>
      <w:hyperlink r:id="rId9">
        <w:r>
          <w:rPr>
            <w:rStyle w:val="VerbatimChar"/>
          </w:rPr>
          <w:t xml:space="preserve">reproduce_models.py</w:t>
        </w:r>
      </w:hyperlink>
      <w:r>
        <w:t xml:space="preserve"> </w:t>
      </w:r>
      <w:r>
        <w:t xml:space="preserve">(see §5).</w:t>
      </w:r>
    </w:p>
    <w:p>
      <w:r>
        <w:pict>
          <v:rect style="width:0;height:1.5pt" o:hralign="center" o:hrstd="t" o:hr="t"/>
        </w:pict>
      </w:r>
    </w:p>
    <w:bookmarkStart w:id="11" w:name="Xbce2e642f32de5fe372bea8511ba70160689fe8"/>
    <w:p>
      <w:pPr>
        <w:pStyle w:val="Heading2"/>
      </w:pPr>
      <w:r>
        <w:t xml:space="preserve">1. Shared benchmark, labels, and methodology</w:t>
      </w:r>
    </w:p>
    <w:p>
      <w:pPr>
        <w:pStyle w:val="FirstParagraph"/>
      </w:pPr>
      <w:r>
        <w:rPr>
          <w:b/>
          <w:bCs/>
        </w:rPr>
        <w:t xml:space="preserve">Benchmark dataset.</w:t>
      </w:r>
      <w:r>
        <w:t xml:space="preserve"> </w:t>
      </w:r>
      <w:r>
        <w:t xml:space="preserve">Miller et al.,</w:t>
      </w:r>
      <w:r>
        <w:t xml:space="preserve"> </w:t>
      </w:r>
      <w:r>
        <w:rPr>
          <w:i/>
          <w:iCs/>
        </w:rPr>
        <w:t xml:space="preserve">Predicting the structural impact of human</w:t>
      </w:r>
      <w:r>
        <w:rPr>
          <w:i/>
          <w:iCs/>
        </w:rPr>
        <w:t xml:space="preserve"> </w:t>
      </w:r>
      <w:r>
        <w:rPr>
          <w:i/>
          <w:iCs/>
        </w:rPr>
        <w:t xml:space="preserve">alternative splicing</w:t>
      </w:r>
      <w:r>
        <w:t xml:space="preserve">,</w:t>
      </w:r>
      <w:r>
        <w:t xml:space="preserve"> </w:t>
      </w:r>
      <w:r>
        <w:rPr>
          <w:b/>
          <w:bCs/>
        </w:rPr>
        <w:t xml:space="preserve">Genome Biology 2025</w:t>
      </w:r>
      <w:r>
        <w:t xml:space="preserve"> </w:t>
      </w:r>
      <w:r>
        <w:t xml:space="preserve">(doi:10.1186/s13059-025-03744-x). One</w:t>
      </w:r>
      <w:r>
        <w:t xml:space="preserve"> </w:t>
      </w:r>
      <w:r>
        <w:t xml:space="preserve">row =</w:t>
      </w:r>
      <w:r>
        <w:t xml:space="preserve"> </w:t>
      </w:r>
      <w:r>
        <w:rPr>
          <w:b/>
          <w:bCs/>
        </w:rPr>
        <w:t xml:space="preserve">one canonical-vs-alternative-isoform splicing event</w:t>
      </w:r>
      <w:r>
        <w:t xml:space="preserve">. After dropping pure</w:t>
      </w:r>
      <w:r>
        <w:t xml:space="preserve"> </w:t>
      </w:r>
      <w:r>
        <w:t xml:space="preserve">insertions (no canonical changed region to score),</w:t>
      </w:r>
      <w:r>
        <w:t xml:space="preserve"> </w:t>
      </w:r>
      <w:r>
        <w:rPr>
          <w:b/>
          <w:bCs/>
        </w:rPr>
        <w:t xml:space="preserve">10,227 pairs across 5,557 human</w:t>
      </w:r>
      <w:r>
        <w:rPr>
          <w:b/>
          <w:bCs/>
        </w:rPr>
        <w:t xml:space="preserve"> </w:t>
      </w:r>
      <w:r>
        <w:rPr>
          <w:b/>
          <w:bCs/>
        </w:rPr>
        <w:t xml:space="preserve">proteins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Label sources — what they are and what they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TM-score</w:t>
            </w:r>
          </w:p>
        </w:tc>
        <w:tc>
          <w:tcPr/>
          <w:p>
            <w:pPr>
              <w:pStyle w:val="Compact"/>
            </w:pPr>
            <w:r>
              <w:t xml:space="preserve">The paper folded every canonical and alternative isoform with</w:t>
            </w:r>
            <w:r>
              <w:t xml:space="preserve"> </w:t>
            </w:r>
            <w:r>
              <w:rPr>
                <w:b/>
                <w:bCs/>
              </w:rPr>
              <w:t xml:space="preserve">AlphaFold2</w:t>
            </w:r>
            <w:r>
              <w:t xml:space="preserve"> </w:t>
            </w:r>
            <w:r>
              <w:t xml:space="preserve">and computed the pairwise TM-score (Table S4).</w:t>
            </w:r>
          </w:p>
        </w:tc>
        <w:tc>
          <w:tcPr/>
          <w:p>
            <w:pPr>
              <w:pStyle w:val="Compact"/>
            </w:pPr>
            <w:r>
              <w:t xml:space="preserve">Structural-similarity of two folds, 0–1.</w:t>
            </w:r>
            <w:r>
              <w:t xml:space="preserve"> </w:t>
            </w:r>
            <w:r>
              <w:rPr>
                <w:b/>
                <w:bCs/>
              </w:rPr>
              <w:t xml:space="preserve">TM &lt; 0.5 = different fold; ≥ 0.5 = same fold.</w:t>
            </w:r>
            <w:r>
              <w:t xml:space="preserve"> </w:t>
            </w:r>
            <w:r>
              <w:t xml:space="preserve">The structural ground truth.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fold_change_prob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humsavar</w:t>
            </w:r>
          </w:p>
        </w:tc>
        <w:tc>
          <w:tcPr/>
          <w:p>
            <w:pPr>
              <w:pStyle w:val="Compact"/>
            </w:pPr>
            <w:r>
              <w:t xml:space="preserve">UniProt</w:t>
            </w:r>
            <w:r>
              <w:t xml:space="preserve"> </w:t>
            </w:r>
            <w:r>
              <w:rPr>
                <w:b/>
                <w:bCs/>
              </w:rPr>
              <w:t xml:space="preserve">humsavar</w:t>
            </w:r>
            <w:r>
              <w:t xml:space="preserve"> </w:t>
            </w:r>
            <w:r>
              <w:t xml:space="preserve">disease-variant catalogue (aggregates ClinVar/OMIM), single-residue variants in</w:t>
            </w:r>
            <w:r>
              <w:t xml:space="preserve"> </w:t>
            </w:r>
            <w:r>
              <w:rPr>
                <w:b/>
                <w:bCs/>
              </w:rPr>
              <w:t xml:space="preserve">canonical protein coordinates</w:t>
            </w:r>
            <w:r>
              <w:t xml:space="preserve">, classed</w:t>
            </w:r>
            <w:r>
              <w:t xml:space="preserve"> </w:t>
            </w:r>
            <w:r>
              <w:rPr>
                <w:b/>
                <w:bCs/>
              </w:rPr>
              <w:t xml:space="preserve">LP/P</w:t>
            </w:r>
            <w:r>
              <w:t xml:space="preserve"> </w:t>
            </w:r>
            <w:r>
              <w:t xml:space="preserve">(pathogenic) or</w:t>
            </w:r>
            <w:r>
              <w:t xml:space="preserve"> </w:t>
            </w:r>
            <w:r>
              <w:rPr>
                <w:b/>
                <w:bCs/>
              </w:rPr>
              <w:t xml:space="preserve">LB/B</w:t>
            </w:r>
            <w:r>
              <w:t xml:space="preserve"> </w:t>
            </w:r>
            <w:r>
              <w:t xml:space="preserve">(benign).</w:t>
            </w:r>
          </w:p>
        </w:tc>
        <w:tc>
          <w:tcPr/>
          <w:p>
            <w:pPr>
              <w:pStyle w:val="Compact"/>
            </w:pPr>
            <w:r>
              <w:t xml:space="preserve">A changed region "overlaps a pathogenic/benign variant" if a LP/P / LB/B position falls inside 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impact_prob</w:t>
            </w:r>
          </w:p>
        </w:tc>
      </w:tr>
    </w:tbl>
    <w:p>
      <w:pPr>
        <w:pStyle w:val="BodyText"/>
      </w:pPr>
      <w:r>
        <w:rPr>
          <w:b/>
          <w:bCs/>
        </w:rPr>
        <w:t xml:space="preserve">Evaluation protocol.</w:t>
      </w:r>
      <w:r>
        <w:t xml:space="preserve"> </w:t>
      </w:r>
      <w:r>
        <w:t xml:space="preserve">L2-regularised logistic regression; features standardised</w:t>
      </w:r>
      <w:r>
        <w:t xml:space="preserve"> </w:t>
      </w:r>
      <w:r>
        <w:t xml:space="preserve">(z-scored); missing features imputed to the training median. Metrics: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AUC</w:t>
      </w:r>
      <w:r>
        <w:t xml:space="preserve"> </w:t>
      </w:r>
      <w:r>
        <w:t xml:space="preserve">— ROC-AUC (rank/threshold-independent; 0.5 = chance).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— at decision threshold 0.5.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, variance of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TM-score explained by a</w:t>
      </w:r>
      <w:r>
        <w:t xml:space="preserve"> </w:t>
      </w:r>
      <w:r>
        <w:t xml:space="preserve">ridge regressor on the same features; for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(a binary target), the</w:t>
      </w:r>
      <w:r>
        <w:t xml:space="preserve"> </w:t>
      </w:r>
      <w:r>
        <w:t xml:space="preserve">variance of the 0/1 label explained by the predicted probability (label-R², lower by</w:t>
      </w:r>
      <w:r>
        <w:t xml:space="preserve"> </w:t>
      </w:r>
      <w:r>
        <w:t xml:space="preserve">construction).</w:t>
      </w:r>
    </w:p>
    <w:p>
      <w:pPr>
        <w:pStyle w:val="FirstParagraph"/>
      </w:pPr>
      <w:r>
        <w:rPr>
          <w:b/>
          <w:bCs/>
        </w:rPr>
        <w:t xml:space="preserve">Feature provenance</w:t>
      </w:r>
      <w:r>
        <w:t xml:space="preserve"> </w:t>
      </w:r>
      <w:r>
        <w:t xml:space="preserve">(each feature, and where its value comes from):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pae_global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b/>
                <w:bCs/>
              </w:rPr>
              <w:t xml:space="preserve">Predicted Aligned Error</w:t>
            </w:r>
            <w:r>
              <w:t xml:space="preserve"> </w:t>
            </w:r>
            <w:r>
              <w:t xml:space="preserve">over the whole</w:t>
            </w:r>
            <w:r>
              <w:t xml:space="preserve"> </w:t>
            </w:r>
            <w:r>
              <w:rPr>
                <w:i/>
                <w:iCs/>
              </w:rPr>
              <w:t xml:space="preserve">canonical</w:t>
            </w:r>
            <w:r>
              <w:t xml:space="preserve"> </w:t>
            </w:r>
            <w:r>
              <w:t xml:space="preserve">AlphaFold structure — how rigidly/confidently the fold is assembled</w:t>
            </w:r>
          </w:p>
        </w:tc>
        <w:tc>
          <w:tcPr/>
          <w:p>
            <w:pPr>
              <w:pStyle w:val="Compact"/>
            </w:pPr>
            <w:r>
              <w:t xml:space="preserve">AlphaFold DB</w:t>
            </w:r>
            <w:r>
              <w:t xml:space="preserve"> </w:t>
            </w:r>
            <w:r>
              <w:rPr>
                <w:rStyle w:val="VerbatimChar"/>
              </w:rPr>
              <w:t xml:space="preserve">predicted_aligned_error_v6.json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afdb_pae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% sequence identity between canonical and alternative protein, from the trimmed changed region</w:t>
            </w:r>
          </w:p>
        </w:tc>
        <w:tc>
          <w:tcPr/>
          <w:p>
            <w:pPr>
              <w:pStyle w:val="Compact"/>
            </w:pPr>
            <w:r>
              <w:t xml:space="preserve">UniProt reference proteome + varsplic 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  <w:r>
              <w:t xml:space="preserve"> </w:t>
            </w:r>
            <w:r>
              <w:rPr>
                <w:b/>
                <w:bCs/>
              </w:rPr>
              <w:t xml:space="preserve">Pfam</w:t>
            </w:r>
            <w:r>
              <w:t xml:space="preserve"> </w:t>
            </w:r>
            <w:r>
              <w:t xml:space="preserve">domain coverage (%) lost in the changed region</w:t>
            </w:r>
          </w:p>
        </w:tc>
        <w:tc>
          <w:tcPr/>
          <w:p>
            <w:pPr>
              <w:pStyle w:val="Compact"/>
            </w:pPr>
            <w:r>
              <w:t xml:space="preserve">HMMER</w:t>
            </w:r>
            <w:r>
              <w:t xml:space="preserve"> </w:t>
            </w:r>
            <w:r>
              <w:rPr>
                <w:rStyle w:val="VerbatimChar"/>
              </w:rPr>
              <w:t xml:space="preserve">hmmsearch --cut_ga</w:t>
            </w:r>
            <w:r>
              <w:t xml:space="preserve"> </w:t>
            </w:r>
            <w:r>
              <w:t xml:space="preserve">vs Pfam-A →</w:t>
            </w:r>
            <w:r>
              <w:t xml:space="preserve"> </w:t>
            </w:r>
            <w:r>
              <w:rPr>
                <w:rStyle w:val="VerbatimChar"/>
              </w:rPr>
              <w:t xml:space="preserve">pfam_match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canonical protein length (aa)</w:t>
            </w:r>
          </w:p>
        </w:tc>
        <w:tc>
          <w:tcPr/>
          <w:p>
            <w:pPr>
              <w:pStyle w:val="Compact"/>
            </w:pPr>
            <w:r>
              <w:t xml:space="preserve">UniProt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region_am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  <w:r>
              <w:t xml:space="preserve"> </w:t>
            </w:r>
            <w:r>
              <w:rPr>
                <w:b/>
                <w:bCs/>
              </w:rPr>
              <w:t xml:space="preserve">AlphaMissense</w:t>
            </w:r>
            <w:r>
              <w:t xml:space="preserve"> </w:t>
            </w:r>
            <w:r>
              <w:t xml:space="preserve">pathogenicity over the changed region</w:t>
            </w:r>
          </w:p>
        </w:tc>
        <w:tc>
          <w:tcPr/>
          <w:p>
            <w:pPr>
              <w:pStyle w:val="Compact"/>
            </w:pPr>
            <w:r>
              <w:t xml:space="preserve">AlphaMissense per-residue →</w:t>
            </w:r>
            <w:r>
              <w:t xml:space="preserve"> </w:t>
            </w:r>
            <w:r>
              <w:rPr>
                <w:rStyle w:val="VerbatimChar"/>
              </w:rPr>
              <w:t xml:space="preserve">am_pathogenicity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</w:pPr>
            <w:r>
              <w:t xml:space="preserve">gnomAD</w:t>
            </w:r>
            <w:r>
              <w:t xml:space="preserve"> </w:t>
            </w:r>
            <w:r>
              <w:rPr>
                <w:b/>
                <w:bCs/>
              </w:rPr>
              <w:t xml:space="preserve">LOEUF</w:t>
            </w:r>
            <w:r>
              <w:t xml:space="preserve"> </w:t>
            </w:r>
            <w:r>
              <w:t xml:space="preserve">gene loss-intolerance (lower = more constrained)</w:t>
            </w:r>
          </w:p>
        </w:tc>
        <w:tc>
          <w:tcPr/>
          <w:p>
            <w:pPr>
              <w:pStyle w:val="Compact"/>
            </w:pPr>
            <w:r>
              <w:t xml:space="preserve">gnomAD v2.1.1 by-gene →</w:t>
            </w:r>
            <w:r>
              <w:t xml:space="preserve"> </w:t>
            </w:r>
            <w:r>
              <w:rPr>
                <w:rStyle w:val="VerbatimChar"/>
              </w:rPr>
              <w:t xml:space="preserve">gene_constraint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</w:pPr>
            <w:r>
              <w:t xml:space="preserve">fraction of the changed region</w:t>
            </w:r>
            <w:r>
              <w:t xml:space="preserve"> </w:t>
            </w:r>
            <w:r>
              <w:rPr>
                <w:b/>
                <w:bCs/>
              </w:rPr>
              <w:t xml:space="preserve">buried</w:t>
            </w:r>
            <w:r>
              <w:t xml:space="preserve"> </w:t>
            </w:r>
            <w:r>
              <w:t xml:space="preserve">(RSA &lt; 0.25) in the canonical structure</w:t>
            </w:r>
          </w:p>
        </w:tc>
        <w:tc>
          <w:tcPr/>
          <w:p>
            <w:pPr>
              <w:pStyle w:val="Compact"/>
            </w:pPr>
            <w:r>
              <w:t xml:space="preserve">AlphaFold DB model → Shrake–Rupley RSA →</w:t>
            </w:r>
            <w:r>
              <w:t xml:space="preserve"> </w:t>
            </w:r>
            <w:r>
              <w:rPr>
                <w:rStyle w:val="VerbatimChar"/>
              </w:rPr>
              <w:t xml:space="preserve">afdb_rsa</w:t>
            </w:r>
          </w:p>
        </w:tc>
      </w:tr>
    </w:tbl>
    <w:bookmarkStart w:id="10" w:name="X942973d9cbcfc2e6ce54c0a74142ca8db78f0a7"/>
    <w:p>
      <w:pPr>
        <w:pStyle w:val="Heading3"/>
      </w:pPr>
      <w:r>
        <w:t xml:space="preserve">1.1 Two training / evaluation methods (and their agreement)</w:t>
      </w:r>
    </w:p>
    <w:p>
      <w:pPr>
        <w:pStyle w:val="FirstParagraph"/>
      </w:pPr>
      <w:r>
        <w:t xml:space="preserve">The script evaluates each model two ways so the honesty of the headline numbers can be</w:t>
      </w:r>
      <w:r>
        <w:t xml:space="preserve"> </w:t>
      </w:r>
      <w:r>
        <w:t xml:space="preserve">checked: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 1 — gene-grouped 5-fold CV</w:t>
      </w:r>
      <w:r>
        <w:t xml:space="preserve"> </w:t>
      </w:r>
      <w:r>
        <w:t xml:space="preserve">(the reported/shipped method). All isoforms of</w:t>
      </w:r>
      <w:r>
        <w:t xml:space="preserve"> </w:t>
      </w:r>
      <w:r>
        <w:t xml:space="preserve">a gene are confined to a single fold, so no protein appears in both train and test.</w:t>
      </w:r>
      <w:r>
        <w:t xml:space="preserve"> </w:t>
      </w:r>
      <w:r>
        <w:t xml:space="preserve">This is the leakage-free estimate and matters because a gene-level feature (</w:t>
      </w:r>
      <w:r>
        <w:rPr>
          <w:rStyle w:val="VerbatimChar"/>
        </w:rPr>
        <w:t xml:space="preserve">loeuf</w:t>
      </w:r>
      <w:r>
        <w:t xml:space="preserve">)</w:t>
      </w:r>
      <w:r>
        <w:t xml:space="preserve"> </w:t>
      </w:r>
      <w:r>
        <w:t xml:space="preserve">and correlated same-gene isoforms could otherwise leak.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 2 — random 80/20 hold-out</w:t>
      </w:r>
      <w:r>
        <w:t xml:space="preserve"> </w:t>
      </w:r>
      <w:r>
        <w:t xml:space="preserve">(pair-level). A single random 80% train / 20%</w:t>
      </w:r>
      <w:r>
        <w:t xml:space="preserve"> </w:t>
      </w:r>
      <w:r>
        <w:t xml:space="preserve">test split, ignoring gene membership. This is the naive method; if it scored much</w:t>
      </w:r>
      <w:r>
        <w:t xml:space="preserve"> </w:t>
      </w:r>
      <w:r>
        <w:t xml:space="preserve">higher than Method 1 it would reveal same-gene leakage.</w:t>
      </w:r>
    </w:p>
    <w:p>
      <w:pPr>
        <w:pStyle w:val="FirstParagraph"/>
      </w:pPr>
      <w:r>
        <w:rPr>
          <w:b/>
          <w:bCs/>
        </w:rPr>
        <w:t xml:space="preserve">They agree closely — the small gap confirms leakage is minimal: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1 (gene-grouped CV)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 2 (random 80/20)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(holdout − grouped)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fold_change_prob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impact_prob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+0.014</w:t>
            </w:r>
          </w:p>
        </w:tc>
      </w:tr>
    </w:tbl>
    <w:p>
      <w:pPr>
        <w:pStyle w:val="BodyText"/>
      </w:pPr>
      <w:r>
        <w:t xml:space="preserve">The random split is</w:t>
      </w:r>
      <w:r>
        <w:t xml:space="preserve"> </w:t>
      </w:r>
      <w:r>
        <w:rPr>
          <w:i/>
          <w:iCs/>
        </w:rPr>
        <w:t xml:space="preserve">slightly</w:t>
      </w:r>
      <w:r>
        <w:t xml:space="preserve"> </w:t>
      </w:r>
      <w:r>
        <w:t xml:space="preserve">optimistic on AUC/R² (≤ +0.018), the expected mild effect</w:t>
      </w:r>
      <w:r>
        <w:t xml:space="preserve"> </w:t>
      </w:r>
      <w:r>
        <w:t xml:space="preserve">of same-gene pairs landing in both train and test; accuracy even drops for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(single-split noise on 655 test rows). All gaps are ≤ 0.02, so the two methods give</w:t>
      </w:r>
      <w:r>
        <w:t xml:space="preserve"> </w:t>
      </w:r>
      <w:r>
        <w:t xml:space="preserve">essentially the same answer —</w:t>
      </w:r>
      <w:r>
        <w:t xml:space="preserve"> </w:t>
      </w:r>
      <w:r>
        <w:rPr>
          <w:b/>
          <w:bCs/>
        </w:rPr>
        <w:t xml:space="preserve">the gene-grouped numbers are honest, not inflated by</w:t>
      </w:r>
      <w:r>
        <w:rPr>
          <w:b/>
          <w:bCs/>
        </w:rPr>
        <w:t xml:space="preserve"> </w:t>
      </w:r>
      <w:r>
        <w:rPr>
          <w:b/>
          <w:bCs/>
        </w:rPr>
        <w:t xml:space="preserve">leakage.</w:t>
      </w:r>
      <w:r>
        <w:t xml:space="preserve"> </w:t>
      </w:r>
      <w:r>
        <w:t xml:space="preserve">They are reported as the headline because they are the conservative estimate;</w:t>
      </w:r>
      <w:r>
        <w:t xml:space="preserve"> </w:t>
      </w:r>
      <w:r>
        <w:t xml:space="preserve">Method 2 is a single-split point estimate (higher variance) shown only for contrast.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36fbf64d81293ced4f4ef663f87ed10d13c7dd4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— structural axis</w:t>
      </w:r>
    </w:p>
    <w:p>
      <w:pPr>
        <w:pStyle w:val="FirstParagraph"/>
      </w:pPr>
      <w:r>
        <w:rPr>
          <w:b/>
          <w:bCs/>
        </w:rPr>
        <w:t xml:space="preserve">What it measures.</w:t>
      </w:r>
      <w:r>
        <w:t xml:space="preserve"> </w:t>
      </w:r>
      <w:r>
        <w:t xml:space="preserve">Calibrated P(the alternative isoform adopts a</w:t>
      </w:r>
      <w:r>
        <w:t xml:space="preserve"> </w:t>
      </w:r>
      <w:r>
        <w:rPr>
          <w:b/>
          <w:bCs/>
        </w:rPr>
        <w:t xml:space="preserve">different fold</w:t>
      </w:r>
      <w:r>
        <w:t xml:space="preserve">,</w:t>
      </w:r>
      <w:r>
        <w:t xml:space="preserve"> </w:t>
      </w:r>
      <w:r>
        <w:t xml:space="preserve">TM-score &lt; 0.5).</w:t>
      </w:r>
    </w:p>
    <w:p>
      <w:pPr>
        <w:pStyle w:val="BodyText"/>
      </w:pPr>
      <w:r>
        <w:rPr>
          <w:b/>
          <w:bCs/>
        </w:rPr>
        <w:t xml:space="preserve">How it's measured / label.</w:t>
      </w:r>
      <w:r>
        <w:t xml:space="preserve"> </w:t>
      </w:r>
      <w:r>
        <w:t xml:space="preserve">Trained and evaluated against the paper's AlphaFold2</w:t>
      </w:r>
      <w:r>
        <w:t xml:space="preserve"> </w:t>
      </w:r>
      <w:r>
        <w:t xml:space="preserve">TM-score (§1). TM &lt; 0.5 is the positive class.</w:t>
      </w:r>
    </w:p>
    <w:p>
      <w:pPr>
        <w:pStyle w:val="BodyText"/>
      </w:pPr>
      <w:r>
        <w:rPr>
          <w:b/>
          <w:bCs/>
        </w:rPr>
        <w:t xml:space="preserve">Features &amp; standardized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utils._FOLD_CHANGE_MODEL</w:t>
      </w:r>
      <w:r>
        <w:t xml:space="preserve">; larger |coef| =</w:t>
      </w:r>
      <w:r>
        <w:t xml:space="preserve"> </w:t>
      </w:r>
      <w:r>
        <w:t xml:space="preserve">more influence):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std. coef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pae_global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+1.96</w:t>
            </w:r>
          </w:p>
        </w:tc>
        <w:tc>
          <w:tcPr/>
          <w:p>
            <w:pPr>
              <w:pStyle w:val="Compact"/>
            </w:pPr>
            <w:r>
              <w:t xml:space="preserve">floppier / multi-domain canonical structure → more fold change (dominant)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</w:t>
            </w:r>
          </w:p>
        </w:tc>
        <w:tc>
          <w:tcPr/>
          <w:p>
            <w:pPr>
              <w:pStyle w:val="Compact"/>
            </w:pPr>
            <w:r>
              <w:t xml:space="preserve">more sequence conserved → fold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more Pfam domain lost → more fold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</w:t>
            </w:r>
          </w:p>
        </w:tc>
        <w:tc>
          <w:tcPr/>
          <w:p>
            <w:pPr>
              <w:pStyle w:val="Compact"/>
            </w:pPr>
            <w:r>
              <w:t xml:space="preserve">longer protein → fold preserved (larger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(raw feature medians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[17.13, 75.0, 11.0, 388.0]</w:t>
      </w:r>
      <w:r>
        <w:rPr>
          <w:i/>
          <w:iCs/>
        </w:rPr>
        <w:t xml:space="preserve">, means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[16.59, 66.36, 33.22, 379.18]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[7.12, 28.02, 39.28, 134.36]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four features in order.)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Base rate P(TM&lt;0.5) = 0.338, so the majority-class accuracy baseline is</w:t>
      </w:r>
      <w:r>
        <w:t xml:space="preserve"> </w:t>
      </w:r>
      <w:r>
        <w:t xml:space="preserve">0.662.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events (no band)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 band applied (route 0.40–0.60 to folding)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 called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query band: route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fold_change_prob</w:t>
      </w:r>
      <w:r>
        <w:rPr>
          <w:b/>
          <w:bCs/>
        </w:rPr>
        <w:t xml:space="preserve"> </w:t>
      </w:r>
      <w:r>
        <w:rPr>
          <w:b/>
          <w:bCs/>
        </w:rPr>
        <w:t xml:space="preserve">∈ [0.40, 0.60] to real folding</w:t>
      </w:r>
      <w:r>
        <w:t xml:space="preserve"> </w:t>
      </w:r>
      <w:r>
        <w:t xml:space="preserve">(ESMFold/ColabFold) instead of forcing a call. Rationale, visible in the decile table</w:t>
      </w:r>
      <w:r>
        <w:t xml:space="preserve"> </w:t>
      </w:r>
      <w:r>
        <w:t xml:space="preserve">and the right-hand graph below: the middle deciles (7–8, prob ≈ 0.37–0.69) are where the</w:t>
      </w:r>
      <w:r>
        <w:t xml:space="preserve"> </w:t>
      </w:r>
      <w:r>
        <w:t xml:space="preserve">model degrades to a</w:t>
      </w:r>
      <w:r>
        <w:t xml:space="preserve"> </w:t>
      </w:r>
      <w:r>
        <w:rPr>
          <w:b/>
          <w:bCs/>
        </w:rPr>
        <w:t xml:space="preserve">coin flip</w:t>
      </w:r>
      <w:r>
        <w:t xml:space="preserve"> </w:t>
      </w:r>
      <w:r>
        <w:t xml:space="preserve">— in-bin accuracy dips to 0.54,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0.662</w:t>
      </w:r>
      <w:r>
        <w:t xml:space="preserve"> </w:t>
      </w:r>
      <w:r>
        <w:t xml:space="preserve">majority baseline — because these are the "does the remainder re-fold?" cases (the SRP9</w:t>
      </w:r>
      <w:r>
        <w:t xml:space="preserve"> </w:t>
      </w:r>
      <w:r>
        <w:t xml:space="preserve">class) that cheap features provably cannot resolve. Abstaining on that ~12% lifts the</w:t>
      </w:r>
      <w:r>
        <w:t xml:space="preserve"> </w:t>
      </w:r>
      <w:r>
        <w:t xml:space="preserve">called-set accuracy 0.815 → 0.854 and AUC 0.894 → 0.913. Widen to 0.30–0.70 for</w:t>
      </w:r>
      <w:r>
        <w:t xml:space="preserve"> </w:t>
      </w:r>
      <w:r>
        <w:t xml:space="preserve">higher-stakes screening.</w:t>
      </w:r>
    </w:p>
    <w:p>
      <w:pPr>
        <w:pStyle w:val="BodyText"/>
      </w:pPr>
      <w:r>
        <w:rPr>
          <w:b/>
          <w:bCs/>
        </w:rPr>
        <w:t xml:space="preserve">Decile calibration</w:t>
      </w:r>
      <w:r>
        <w:t xml:space="preserve"> </w:t>
      </w:r>
      <w:r>
        <w:t xml:space="preserve">(events sorted by predicted probability into 10 equal bins):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decile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pred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observed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in-bin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acc@0.5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0.001–0.013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0.013–0.032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0.032–0.067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0.067–0.133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0.133–0.230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0.230–0.367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0.367–0.524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0.524–0.685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0.685–0.847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0.848–0.991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0.890</w:t>
            </w:r>
          </w:p>
        </w:tc>
      </w:tr>
    </w:tbl>
    <w:p>
      <w:pPr>
        <w:pStyle w:val="BodyText"/>
      </w:pPr>
      <w:r>
        <w:t xml:space="preserve">Predicted ≈ observed in every decile (well-calibrated). The U-shaped accuracy — high at</w:t>
      </w:r>
      <w:r>
        <w:t xml:space="preserve"> </w:t>
      </w:r>
      <w:r>
        <w:t xml:space="preserve">both confident tails, coin-flip in the middle — is the signature that motivates the band.</w:t>
      </w:r>
    </w:p>
    <w:p>
      <w:pPr>
        <w:pStyle w:val="BodyText"/>
      </w:pPr>
      <w:r>
        <w:drawing>
          <wp:inline>
            <wp:extent cx="5334000" cy="2036618"/>
            <wp:effectExtent b="0" l="0" r="0" t="0"/>
            <wp:docPr descr="fold_change_prob calibration and per-decile accuracy" title="" id="14" name="Picture"/>
            <a:graphic>
              <a:graphicData uri="http://schemas.openxmlformats.org/drawingml/2006/picture">
                <pic:pic>
                  <pic:nvPicPr>
                    <pic:cNvPr descr="model_card_foldchan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Caveats.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Confounded mechanism.</w:t>
      </w:r>
      <w:r>
        <w:t xml:space="preserve"> </w:t>
      </w:r>
      <w:r>
        <w:t xml:space="preserve">Part of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's power is that a TM-score between two</w:t>
      </w:r>
      <w:r>
        <w:t xml:space="preserve"> </w:t>
      </w:r>
      <w:r>
        <w:rPr>
          <w:i/>
          <w:iCs/>
        </w:rPr>
        <w:t xml:space="preserve">low-confidence</w:t>
      </w:r>
      <w:r>
        <w:t xml:space="preserve"> </w:t>
      </w:r>
      <w:r>
        <w:t xml:space="preserve">AlphaFold models is low almost by construction. So a high canonical</w:t>
      </w:r>
      <w:r>
        <w:t xml:space="preserve"> </w:t>
      </w:r>
      <w:r>
        <w:t xml:space="preserve">PAE partly flags "this TM is unreliable" as much as "a real fold change occurred." It</w:t>
      </w:r>
      <w:r>
        <w:t xml:space="preserve"> </w:t>
      </w:r>
      <w:r>
        <w:t xml:space="preserve">is still non-circular (canonical-only, computed independently of the label) and</w:t>
      </w:r>
      <w:r>
        <w:t xml:space="preserve"> </w:t>
      </w:r>
      <w:r>
        <w:t xml:space="preserve">prospectively available, but read it as "confidence the fold is well-defined enough to</w:t>
      </w:r>
      <w:r>
        <w:t xml:space="preserve"> </w:t>
      </w:r>
      <w:r>
        <w:t xml:space="preserve">compare," not a pure fold-change detector.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Per-protein prior.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 </w:t>
      </w:r>
      <w:r>
        <w:t xml:space="preserve">is a whole-canonical-structure property, identical</w:t>
      </w:r>
      <w:r>
        <w:t xml:space="preserve"> </w:t>
      </w:r>
      <w:r>
        <w:t xml:space="preserve">for every isoform of a gene — it sets a per-protein baseline; only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max_cov_loss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protL</w:t>
      </w:r>
      <w:r>
        <w:t xml:space="preserve"> </w:t>
      </w:r>
      <w:r>
        <w:t xml:space="preserve">differentiate isoforms of the same gene.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Known blind spot.</w:t>
      </w:r>
      <w:r>
        <w:t xml:space="preserve"> </w:t>
      </w:r>
      <w:r>
        <w:t xml:space="preserve">High-identity / low-TM outliers (≈10% of pairs: identity ≥ 80%</w:t>
      </w:r>
      <w:r>
        <w:t xml:space="preserve"> </w:t>
      </w:r>
      <w:r>
        <w:t xml:space="preserve">yet TM &lt; 0.5 — the SRP9 class) are confidently mis-called</w:t>
      </w:r>
      <w:r>
        <w:t xml:space="preserve"> </w:t>
      </w:r>
      <w:r>
        <w:rPr>
          <w:i/>
          <w:iCs/>
        </w:rPr>
        <w:t xml:space="preserve">preserved</w:t>
      </w:r>
      <w:r>
        <w:t xml:space="preserve">; these sit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routing band, so pair the band with a "high-identity AND exposed region"</w:t>
      </w:r>
      <w:r>
        <w:t xml:space="preserve"> </w:t>
      </w:r>
      <w:r>
        <w:t xml:space="preserve">trigger for high-stakes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Pure insertions are excluded (no canonical changed region). The ceiling for</w:t>
      </w:r>
      <w:r>
        <w:t xml:space="preserve"> </w:t>
      </w:r>
      <w:r>
        <w:t xml:space="preserve">cheap features is ~AUC 0.90; the residual genuinely needs the isoform folded.</w:t>
      </w:r>
    </w:p>
    <w:p>
      <w:r>
        <w:pict>
          <v:rect style="width:0;height:1.5pt" o:hralign="center" o:hrstd="t" o:hr="t"/>
        </w:pict>
      </w:r>
    </w:p>
    <w:bookmarkEnd w:id="16"/>
    <w:bookmarkStart w:id="20" w:name="X7fac4f86d4a730999a9e31987ad6723952a44ee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— functional axis</w:t>
      </w:r>
    </w:p>
    <w:p>
      <w:pPr>
        <w:pStyle w:val="FirstParagraph"/>
      </w:pPr>
      <w:r>
        <w:rPr>
          <w:b/>
          <w:bCs/>
        </w:rPr>
        <w:t xml:space="preserve">What it measures.</w:t>
      </w:r>
      <w:r>
        <w:t xml:space="preserve"> </w:t>
      </w:r>
      <w:r>
        <w:t xml:space="preserve">Calibrated P(the changed region is</w:t>
      </w:r>
      <w:r>
        <w:t xml:space="preserve"> </w:t>
      </w:r>
      <w:r>
        <w:rPr>
          <w:b/>
          <w:bCs/>
        </w:rPr>
        <w:t xml:space="preserve">pathogenic-variant-like</w:t>
      </w:r>
      <w:r>
        <w:t xml:space="preserve">).</w:t>
      </w:r>
      <w:r>
        <w:t xml:space="preserve"> </w:t>
      </w:r>
      <w:r>
        <w:t xml:space="preserve">Concretely, among changed regions that overlap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curated variant, P(it is the</w:t>
      </w:r>
      <w:r>
        <w:t xml:space="preserve"> </w:t>
      </w:r>
      <w:r>
        <w:rPr>
          <w:b/>
          <w:bCs/>
        </w:rPr>
        <w:t xml:space="preserve">pathogenic</w:t>
      </w:r>
      <w:r>
        <w:t xml:space="preserve"> </w:t>
      </w:r>
      <w:r>
        <w:t xml:space="preserve">one rather than the benign one). It is an</w:t>
      </w:r>
      <w:r>
        <w:t xml:space="preserve"> </w:t>
      </w:r>
      <w:r>
        <w:rPr>
          <w:b/>
          <w:bCs/>
        </w:rPr>
        <w:t xml:space="preserve">enrichment / prioritisation</w:t>
      </w:r>
      <w:r>
        <w:t xml:space="preserve"> </w:t>
      </w:r>
      <w:r>
        <w:t xml:space="preserve">signal ("look here first"),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per-event clinical classifier.</w:t>
      </w:r>
    </w:p>
    <w:p>
      <w:pPr>
        <w:pStyle w:val="BodyText"/>
      </w:pPr>
      <w:r>
        <w:rPr>
          <w:b/>
          <w:bCs/>
        </w:rPr>
        <w:t xml:space="preserve">How it's measured / label.</w:t>
      </w:r>
      <w:r>
        <w:t xml:space="preserve"> </w:t>
      </w:r>
      <w:r>
        <w:t xml:space="preserve">Restricted to regions overlapping a humsavar LP/P or LB/B</w:t>
      </w:r>
      <w:r>
        <w:t xml:space="preserve"> </w:t>
      </w:r>
      <w:r>
        <w:t xml:space="preserve">variant; label = 1 if pathogenic-overlapping, 0 if only benign-overlapping. 3,276</w:t>
      </w:r>
      <w:r>
        <w:t xml:space="preserve"> </w:t>
      </w:r>
      <w:r>
        <w:t xml:space="preserve">regions. (The benign class is the specificity control — a real functional score must</w:t>
      </w:r>
      <w:r>
        <w:t xml:space="preserve"> </w:t>
      </w:r>
      <w:r>
        <w:t xml:space="preserve">enrich pathogenic, not merely variant-dense, regions.)</w:t>
      </w:r>
    </w:p>
    <w:p>
      <w:pPr>
        <w:pStyle w:val="BodyText"/>
      </w:pPr>
      <w:r>
        <w:rPr>
          <w:b/>
          <w:bCs/>
        </w:rPr>
        <w:t xml:space="preserve">Features &amp; standardized coefficients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</w:t>
      </w:r>
      <w:r>
        <w:t xml:space="preserve"> </w:t>
      </w:r>
      <w:r>
        <w:t xml:space="preserve">impact model):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std. coef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region_am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+0.80</w:t>
            </w:r>
          </w:p>
        </w:tc>
        <w:tc>
          <w:tcPr/>
          <w:p>
            <w:pPr>
              <w:pStyle w:val="Compact"/>
            </w:pPr>
            <w:r>
              <w:t xml:space="preserve">higher AlphaMissense constraint → pathogenic (dominant)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more loss-intolerant gene (lower LOEUF) → pathogenic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+0.24</w:t>
            </w:r>
          </w:p>
        </w:tc>
        <w:tc>
          <w:tcPr/>
          <w:p>
            <w:pPr>
              <w:pStyle w:val="Compact"/>
            </w:pPr>
            <w:r>
              <w:t xml:space="preserve">buried / structured region → pathogenic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</w:t>
            </w:r>
          </w:p>
        </w:tc>
        <w:tc>
          <w:tcPr/>
          <w:p>
            <w:pPr>
              <w:pStyle w:val="Compact"/>
            </w:pPr>
            <w:r>
              <w:t xml:space="preserve">~no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intercept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(raw medians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[0.482, 0.983, 41.0, 0.340]</w:t>
      </w:r>
      <w:r>
        <w:rPr>
          <w:i/>
          <w:iCs/>
        </w:rPr>
        <w:t xml:space="preserve">, means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[0.482, 0.979, 46.07, 0.309]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[0.155, 0.443, 41.01, 0.219]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Base rate P(pathogenic | overlaps a variant) = 0.277 → majority baseline</w:t>
      </w:r>
      <w:r>
        <w:t xml:space="preserve"> </w:t>
      </w:r>
      <w:r>
        <w:t xml:space="preserve">0.723.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operating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events (no band)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abstain on 0.40–0.60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85% called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Suggested use / band.</w:t>
      </w:r>
      <w:r>
        <w:t xml:space="preserve"> </w:t>
      </w:r>
      <w:r>
        <w:t xml:space="preserve">Treat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triage/prioritisation</w:t>
      </w:r>
      <w:r>
        <w:t xml:space="preserve"> </w:t>
      </w:r>
      <w:r>
        <w:t xml:space="preserve">score, not a</w:t>
      </w:r>
      <w:r>
        <w:t xml:space="preserve"> </w:t>
      </w:r>
      <w:r>
        <w:t xml:space="preserve">verdict: the</w:t>
      </w:r>
      <w:r>
        <w:t xml:space="preserve"> </w:t>
      </w:r>
      <w:r>
        <w:rPr>
          <w:b/>
          <w:bCs/>
        </w:rPr>
        <w:t xml:space="preserve">top decile (prob ≳ 0.58)</w:t>
      </w:r>
      <w:r>
        <w:t xml:space="preserve"> </w:t>
      </w:r>
      <w:r>
        <w:t xml:space="preserve">is ~66% pathogenic — "review these first"; the</w:t>
      </w:r>
      <w:r>
        <w:t xml:space="preserve"> </w:t>
      </w:r>
      <w:r>
        <w:rPr>
          <w:b/>
          <w:bCs/>
        </w:rPr>
        <w:t xml:space="preserve">bottom deciles (prob ≲ 0.11)</w:t>
      </w:r>
      <w:r>
        <w:t xml:space="preserve"> </w:t>
      </w:r>
      <w:r>
        <w:t xml:space="preserve">are ~5–7% pathogenic — reliably de-prioritised; the</w:t>
      </w:r>
      <w:r>
        <w:t xml:space="preserve"> </w:t>
      </w:r>
      <w:r>
        <w:rPr>
          <w:b/>
          <w:bCs/>
        </w:rPr>
        <w:t xml:space="preserve">0.40–0.60</w:t>
      </w:r>
      <w:r>
        <w:t xml:space="preserve"> </w:t>
      </w:r>
      <w:r>
        <w:t xml:space="preserve">middle is genuinely ambiguous and should go to manual curation. Abstaining</w:t>
      </w:r>
      <w:r>
        <w:t xml:space="preserve"> </w:t>
      </w:r>
      <w:r>
        <w:t xml:space="preserve">on the middle raises called-set accuracy 0.750 → 0.793 (AUC barely moves — the tails are</w:t>
      </w:r>
      <w:r>
        <w:t xml:space="preserve"> </w:t>
      </w:r>
      <w:r>
        <w:t xml:space="preserve">where the signal is).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 it to call an individual variant pathogenic.</w:t>
      </w:r>
    </w:p>
    <w:p>
      <w:pPr>
        <w:pStyle w:val="BodyText"/>
      </w:pPr>
      <w:r>
        <w:rPr>
          <w:b/>
          <w:bCs/>
        </w:rPr>
        <w:t xml:space="preserve">Decile calibration: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decile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 pred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observed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in-bin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acc@0.5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0.019–0.068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0.068–0.107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0.107–0.143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0.143–0.184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0.184–0.227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0.227–0.281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0.281–0.345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0.345–0.436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0.438–0.576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0.576–0.911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</w:tr>
    </w:tbl>
    <w:p>
      <w:pPr>
        <w:pStyle w:val="BodyText"/>
      </w:pPr>
      <w:r>
        <w:drawing>
          <wp:inline>
            <wp:extent cx="5334000" cy="2036618"/>
            <wp:effectExtent b="0" l="0" r="0" t="0"/>
            <wp:docPr descr="impact_prob calibration and per-decile accuracy" title="" id="18" name="Picture"/>
            <a:graphic>
              <a:graphicData uri="http://schemas.openxmlformats.org/drawingml/2006/picture">
                <pic:pic>
                  <pic:nvPicPr>
                    <pic:cNvPr descr="model_card_impac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Caveats.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Semi-circular (the biggest one).</w:t>
      </w:r>
      <w:r>
        <w:t xml:space="preserve"> </w:t>
      </w:r>
      <w:r>
        <w:rPr>
          <w:rStyle w:val="VerbatimChar"/>
        </w:rPr>
        <w:t xml:space="preserve">region_am</w:t>
      </w:r>
      <w:r>
        <w:t xml:space="preserve"> </w:t>
      </w:r>
      <w:r>
        <w:t xml:space="preserve">(AlphaMissense) is itself a</w:t>
      </w:r>
      <w:r>
        <w:t xml:space="preserve"> </w:t>
      </w:r>
      <w:r>
        <w:t xml:space="preserve">pathogenicity predictor and dominates the model (+0.80), so part of the signal is built</w:t>
      </w:r>
      <w:r>
        <w:t xml:space="preserve"> </w:t>
      </w:r>
      <w:r>
        <w:t xml:space="preserve">in. The</w:t>
      </w:r>
      <w:r>
        <w:t xml:space="preserve"> </w:t>
      </w:r>
      <w:r>
        <w:rPr>
          <w:b/>
          <w:bCs/>
        </w:rPr>
        <w:t xml:space="preserve">non-circular</w:t>
      </w:r>
      <w:r>
        <w:t xml:space="preserve"> </w:t>
      </w:r>
      <w:r>
        <w:t xml:space="preserve">contributors are</w:t>
      </w:r>
      <w:r>
        <w:t xml:space="preserve"> </w:t>
      </w:r>
      <w:r>
        <w:rPr>
          <w:rStyle w:val="VerbatimChar"/>
        </w:rPr>
        <w:t xml:space="preserve">loeuf</w:t>
      </w:r>
      <w:r>
        <w:t xml:space="preserve"> </w:t>
      </w:r>
      <w:r>
        <w:t xml:space="preserve">(gnomAD constraint) and</w:t>
      </w:r>
      <w:r>
        <w:t xml:space="preserve"> </w:t>
      </w:r>
      <w:r>
        <w:rPr>
          <w:rStyle w:val="VerbatimChar"/>
        </w:rPr>
        <w:t xml:space="preserve">buried_frac</w:t>
      </w:r>
      <w:r>
        <w:t xml:space="preserve"> </w:t>
      </w:r>
      <w:r>
        <w:t xml:space="preserve">(structure). Read the score as "concentrates known functional signals," not independent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Positive-only labels.</w:t>
      </w:r>
      <w:r>
        <w:t xml:space="preserve"> </w:t>
      </w:r>
      <w:r>
        <w:t xml:space="preserve">"No known pathogenic variant" is not proof of neutrality — so</w:t>
      </w:r>
      <w:r>
        <w:t xml:space="preserve"> </w:t>
      </w:r>
      <w:r>
        <w:t xml:space="preserve">these are recall/enrichment results, not true specificity.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Region-length confound.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variant-overlap presence, region length dominates</w:t>
      </w:r>
      <w:r>
        <w:t xml:space="preserve"> </w:t>
      </w:r>
      <w:r>
        <w:t xml:space="preserve">(bigger change → more residues → more overlap);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is trained</w:t>
      </w:r>
      <w:r>
        <w:t xml:space="preserve"> </w:t>
      </w:r>
      <w:r>
        <w:t xml:space="preserve">length-controlled (patho-vs-benign among overlapping regions) precisely to avoid</w:t>
      </w:r>
      <w:r>
        <w:t xml:space="preserve"> </w:t>
      </w:r>
      <w:r>
        <w:t xml:space="preserve">measuring size instead of function. Do not add sequence-identity/length as a feature —</w:t>
      </w:r>
      <w:r>
        <w:t xml:space="preserve"> </w:t>
      </w:r>
      <w:r>
        <w:t xml:space="preserve">it would inflate AUC while measuring region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classifier.</w:t>
      </w:r>
      <w:r>
        <w:t xml:space="preserve"> </w:t>
      </w:r>
      <w:r>
        <w:t xml:space="preserve">Both classes pile into moderate/high probabilities; specificity</w:t>
      </w:r>
      <w:r>
        <w:t xml:space="preserve"> </w:t>
      </w:r>
      <w:r>
        <w:t xml:space="preserve">is limited. It ranks/prioritises; it does not adjudicate.</w:t>
      </w:r>
    </w:p>
    <w:p>
      <w:r>
        <w:pict>
          <v:rect style="width:0;height:1.5pt" o:hralign="center" o:hrstd="t" o:hr="t"/>
        </w:pict>
      </w:r>
    </w:p>
    <w:bookmarkEnd w:id="20"/>
    <w:bookmarkStart w:id="21" w:name="X0f59cd43909a94d0a9ff9e6f759b526257390ff"/>
    <w:p>
      <w:pPr>
        <w:pStyle w:val="Heading2"/>
      </w:pPr>
      <w:r>
        <w:t xml:space="preserve">4. Why these features and not others (audit trail)</w:t>
      </w:r>
    </w:p>
    <w:p>
      <w:pPr>
        <w:pStyle w:val="FirstParagraph"/>
      </w:pPr>
      <w:r>
        <w:t xml:space="preserve">Both feature sets are the survivors of an exhaustive search (EXPERIMENTS.md, E1–E44).</w:t>
      </w:r>
      <w:r>
        <w:t xml:space="preserve"> </w:t>
      </w:r>
      <w:r>
        <w:t xml:space="preserve">Key negatives worth knowing for review: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PAE dominates fold change</w:t>
      </w:r>
      <w:r>
        <w:t xml:space="preserve"> </w:t>
      </w:r>
      <w:r>
        <w:t xml:space="preserve">and was the single biggest lever (AUC 0.78 → 0.90); it was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redundant for years and only helped when finally measured.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buried_frac</w:t>
      </w:r>
      <w:r>
        <w:rPr>
          <w:b/>
          <w:bCs/>
        </w:rPr>
        <w:t xml:space="preserve"> </w:t>
      </w:r>
      <w:r>
        <w:rPr>
          <w:b/>
          <w:bCs/>
        </w:rPr>
        <w:t xml:space="preserve">is functional-only;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pae_global</w:t>
      </w:r>
      <w:r>
        <w:rPr>
          <w:b/>
          <w:bCs/>
        </w:rPr>
        <w:t xml:space="preserve"> </w:t>
      </w:r>
      <w:r>
        <w:rPr>
          <w:b/>
          <w:bCs/>
        </w:rPr>
        <w:t xml:space="preserve">is structural-only</w:t>
      </w:r>
      <w:r>
        <w:t xml:space="preserve"> </w:t>
      </w:r>
      <w:r>
        <w:t xml:space="preserve">— each was tested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axis and rejected (drop-column ≈ 0 or fails the benign control). The two</w:t>
      </w:r>
      <w:r>
        <w:t xml:space="preserve"> </w:t>
      </w:r>
      <w:r>
        <w:t xml:space="preserve">models are cleanly separated.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Rejected / redundant:</w:t>
      </w:r>
      <w:r>
        <w:t xml:space="preserve"> </w:t>
      </w:r>
      <w:r>
        <w:t xml:space="preserve">ESM-2 embeddings (help fold change but not shipped — heavy),</w:t>
      </w:r>
      <w:r>
        <w:t xml:space="preserve"> </w:t>
      </w:r>
      <w:r>
        <w:t xml:space="preserve">650M vs 150M ESM (≈equal), region pLDDT (0.79-correlated with burial), contacts</w:t>
      </w:r>
      <w:r>
        <w:t xml:space="preserve"> </w:t>
      </w:r>
      <w:r>
        <w:t xml:space="preserve">(redundant with burial), phyloP (only a small structural add, small sample), peak-AM,</w:t>
      </w:r>
      <w:r>
        <w:t xml:space="preserve"> </w:t>
      </w:r>
      <w:r>
        <w:t xml:space="preserve">tree/NN model families, multi-task. None beat the shipped logistic on its own axis.</w:t>
      </w:r>
    </w:p>
    <w:p>
      <w:r>
        <w:pict>
          <v:rect style="width:0;height:1.5pt" o:hralign="center" o:hrstd="t" o:hr="t"/>
        </w:pict>
      </w:r>
    </w:p>
    <w:bookmarkEnd w:id="21"/>
    <w:bookmarkStart w:id="22" w:name="Xa4ffce2370119aecba936aa7fdd544fc6b3bc16"/>
    <w:p>
      <w:pPr>
        <w:pStyle w:val="Heading2"/>
      </w:pPr>
      <w:r>
        <w:t xml:space="preserve">5. Reproduction</w:t>
      </w:r>
    </w:p>
    <w:p>
      <w:pPr>
        <w:pStyle w:val="FirstParagraph"/>
      </w:pPr>
      <w:hyperlink r:id="rId9">
        <w:r>
          <w:rPr>
            <w:rStyle w:val="VerbatimChar"/>
          </w:rPr>
          <w:t xml:space="preserve">reproduce_models.py</w:t>
        </w:r>
      </w:hyperlink>
      <w:r>
        <w:t xml:space="preserve"> </w:t>
      </w:r>
      <w:r>
        <w:t xml:space="preserve">reproduces every number and both graphs in</w:t>
      </w:r>
      <w:r>
        <w:t xml:space="preserve"> </w:t>
      </w:r>
      <w:r>
        <w:t xml:space="preserve">this document. 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Downloads</w:t>
      </w:r>
      <w:r>
        <w:t xml:space="preserve"> </w:t>
      </w:r>
      <w:r>
        <w:t xml:space="preserve">(into</w:t>
      </w:r>
      <w:r>
        <w:t xml:space="preserve"> </w:t>
      </w:r>
      <w:r>
        <w:rPr>
          <w:rStyle w:val="VerbatimChar"/>
        </w:rPr>
        <w:t xml:space="preserve">./repro_data/</w:t>
      </w:r>
      <w:r>
        <w:t xml:space="preserve">, ~30 MB, no DoChaP DB needed): UniProt human</w:t>
      </w:r>
      <w:r>
        <w:t xml:space="preserve"> </w:t>
      </w:r>
      <w:r>
        <w:t xml:space="preserve">reference proteome + varsplic (sequences 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protL</w:t>
      </w:r>
      <w:r>
        <w:t xml:space="preserve">, changed region),</w:t>
      </w:r>
      <w:r>
        <w:t xml:space="preserve"> </w:t>
      </w:r>
      <w:r>
        <w:t xml:space="preserve">UniProt humsavar (functional labels), gnomAD v2.1.1 by-gene constraint (</w:t>
      </w:r>
      <w:r>
        <w:rPr>
          <w:rStyle w:val="VerbatimChar"/>
        </w:rPr>
        <w:t xml:space="preserve">loeuf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Reuses</w:t>
      </w:r>
      <w:r>
        <w:t xml:space="preserve"> </w:t>
      </w:r>
      <w:r>
        <w:t xml:space="preserve">the committed per-pair feature CSVs in this folder (their raw provenance —</w:t>
      </w:r>
      <w:r>
        <w:t xml:space="preserve"> </w:t>
      </w:r>
      <w:r>
        <w:t xml:space="preserve">AlphaFold DB, AlphaMissense, Pfam — is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full_pairs.csv</w:t>
      </w:r>
      <w:r>
        <w:t xml:space="preserve"> </w:t>
      </w:r>
      <w:r>
        <w:t xml:space="preserve">(TM label + changed region),</w:t>
      </w:r>
      <w:r>
        <w:t xml:space="preserve"> </w:t>
      </w:r>
      <w:r>
        <w:rPr>
          <w:rStyle w:val="VerbatimChar"/>
        </w:rPr>
        <w:t xml:space="preserve">pae_features_full.csv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pae_global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bench_rich_results.csv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region_am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max_cov_loss</w:t>
      </w:r>
      <w:r>
        <w:t xml:space="preserve">),</w:t>
      </w:r>
      <w:r>
        <w:t xml:space="preserve"> </w:t>
      </w:r>
      <w:r>
        <w:rPr>
          <w:rStyle w:val="VerbatimChar"/>
        </w:rPr>
        <w:t xml:space="preserve">full_features.csv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buried_frac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Trains + tests</w:t>
      </w:r>
      <w:r>
        <w:t xml:space="preserve"> </w:t>
      </w:r>
      <w:r>
        <w:t xml:space="preserve">both models by both methods of §1.1 (gene-grouped CV and random</w:t>
      </w:r>
      <w:r>
        <w:t xml:space="preserve"> </w:t>
      </w:r>
      <w:r>
        <w:t xml:space="preserve">80/20), prints coefficients (which match the shipped</w:t>
      </w:r>
      <w:r>
        <w:t xml:space="preserve"> </w:t>
      </w:r>
      <w:r>
        <w:rPr>
          <w:rStyle w:val="VerbatimChar"/>
        </w:rPr>
        <w:t xml:space="preserve">utils</w:t>
      </w:r>
      <w:r>
        <w:t xml:space="preserve"> </w:t>
      </w:r>
      <w:r>
        <w:t xml:space="preserve">models), overall +</w:t>
      </w:r>
      <w:r>
        <w:t xml:space="preserve"> </w:t>
      </w:r>
      <w:r>
        <w:t xml:space="preserve">banded metrics, the method comparison, and the decile tables, and writes</w:t>
      </w:r>
      <w:r>
        <w:t xml:space="preserve"> </w:t>
      </w:r>
      <w:r>
        <w:rPr>
          <w:rStyle w:val="VerbatimChar"/>
        </w:rPr>
        <w:t xml:space="preserve">model_card_foldchange.png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model_card_impact.png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cd alphafold_benchmark &amp;&amp; python3 reproduce_models.py            # everything, both models, both methods</w:t>
      </w:r>
      <w:r>
        <w:br/>
      </w:r>
      <w:r>
        <w:rPr>
          <w:rStyle w:val="VerbatimChar"/>
        </w:rPr>
        <w:t xml:space="preserve">python3 reproduce_models.py --download-only                      # just fetch inputs into repro_data/ and exit</w:t>
      </w:r>
      <w:r>
        <w:br/>
      </w:r>
      <w:r>
        <w:rPr>
          <w:rStyle w:val="VerbatimChar"/>
        </w:rPr>
        <w:t xml:space="preserve">python3 reproduce_models.py --models fold_change --methods grouped   # one model, one method</w:t>
      </w:r>
      <w:r>
        <w:br/>
      </w:r>
      <w:r>
        <w:rPr>
          <w:rStyle w:val="VerbatimChar"/>
        </w:rPr>
        <w:t xml:space="preserve">python3 reproduce_models.py --methods holdout --seed 7            # only the random 80/20 split, seed 7</w:t>
      </w:r>
      <w:r>
        <w:br/>
      </w:r>
      <w:r>
        <w:rPr>
          <w:rStyle w:val="VerbatimChar"/>
        </w:rPr>
        <w:t xml:space="preserve">python3 reproduce_models.py --no-graphs                           # skip the PNGs</w:t>
      </w:r>
    </w:p>
    <w:p>
      <w:pPr>
        <w:pStyle w:val="FirstParagraph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--models {fold_change,impact,both}</w:t>
      </w:r>
      <w:r>
        <w:t xml:space="preserve">,</w:t>
      </w:r>
      <w:r>
        <w:t xml:space="preserve"> </w:t>
      </w:r>
      <w:r>
        <w:rPr>
          <w:rStyle w:val="VerbatimChar"/>
        </w:rPr>
        <w:t xml:space="preserve">--methods {grouped,holdout,both}</w:t>
      </w:r>
      <w:r>
        <w:t xml:space="preserve">,</w:t>
      </w:r>
      <w:r>
        <w:t xml:space="preserve"> </w:t>
      </w:r>
      <w:r>
        <w:rPr>
          <w:rStyle w:val="VerbatimChar"/>
        </w:rPr>
        <w:t xml:space="preserve">--download-only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--no-graphs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(hold-out split seed).</w:t>
      </w:r>
    </w:p>
    <w:p>
      <w:r>
        <w:pict>
          <v:rect style="width:0;height:1.5pt" o:hralign="center" o:hrstd="t" o:hr="t"/>
        </w:pict>
      </w:r>
    </w:p>
    <w:bookmarkEnd w:id="22"/>
    <w:bookmarkStart w:id="23" w:name="Xe7e28ef68bcb0c1cc37d3fd1b781b15881b860b"/>
    <w:p>
      <w:pPr>
        <w:pStyle w:val="Heading2"/>
      </w:pPr>
      <w:r>
        <w:t xml:space="preserve">6. Review checklist / essentials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Intended use.</w:t>
      </w:r>
      <w:r>
        <w:t xml:space="preserve"> </w:t>
      </w:r>
      <w:r>
        <w:t xml:space="preserve">Screening/prioritising alternative-splicing events at scale: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for "does the fold change,"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for "is the changed region</w:t>
      </w:r>
      <w:r>
        <w:t xml:space="preserve"> </w:t>
      </w:r>
      <w:r>
        <w:t xml:space="preserve">functionally important." Both are triage signals feeding human/structural review.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 of scope.</w:t>
      </w:r>
      <w:r>
        <w:t xml:space="preserve"> </w:t>
      </w:r>
      <w:r>
        <w:t xml:space="preserve">Not a clinical variant classifier; not validated on non-human</w:t>
      </w:r>
      <w:r>
        <w:t xml:space="preserve"> </w:t>
      </w:r>
      <w:r>
        <w:t xml:space="preserve">proteins; not for pure insertions; not a substitute for folding the isoform when the</w:t>
      </w:r>
      <w:r>
        <w:t xml:space="preserve"> </w:t>
      </w:r>
      <w:r>
        <w:t xml:space="preserve">score is in the uncertain band.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Leakage control.</w:t>
      </w:r>
      <w:r>
        <w:t xml:space="preserve"> </w:t>
      </w:r>
      <w:r>
        <w:t xml:space="preserve">Gene-grouped CV throughout (all isoforms of a gene in one fold);</w:t>
      </w:r>
      <w:r>
        <w:t xml:space="preserve"> </w:t>
      </w:r>
      <w:r>
        <w:rPr>
          <w:rStyle w:val="VerbatimChar"/>
        </w:rPr>
        <w:t xml:space="preserve">loeuf</w:t>
      </w:r>
      <w:r>
        <w:t xml:space="preserve"> </w:t>
      </w:r>
      <w:r>
        <w:t xml:space="preserve">is gene-level so pair-level CV would leak — the gene-grouped numbers are the</w:t>
      </w:r>
      <w:r>
        <w:t xml:space="preserve"> </w:t>
      </w:r>
      <w:r>
        <w:t xml:space="preserve">honest 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 balance.</w:t>
      </w:r>
      <w:r>
        <w:t xml:space="preserve"> </w:t>
      </w:r>
      <w:r>
        <w:t xml:space="preserve">fold change: 33.8% positive (majority acc 0.662). functional: 27.7%</w:t>
      </w:r>
      <w:r>
        <w:t xml:space="preserve"> </w:t>
      </w:r>
      <w:r>
        <w:t xml:space="preserve">pathogenic among overlapping regions (majority acc 0.723). Always compare model accuracy</w:t>
      </w:r>
      <w:r>
        <w:t xml:space="preserve"> </w:t>
      </w:r>
      <w:r>
        <w:t xml:space="preserve">to these baselines, not to 0.5.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Both are logistic (natively calibrated); the decile tables show</w:t>
      </w:r>
      <w:r>
        <w:t xml:space="preserve"> </w:t>
      </w:r>
      <w:r>
        <w:t xml:space="preserve">predicted ≈ observed in every bin.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Known failure modes.</w:t>
      </w:r>
      <w:r>
        <w:t xml:space="preserve"> </w:t>
      </w:r>
      <w:r>
        <w:t xml:space="preserve">fold change: high-identity/low-TM re-folders (SRP9 class),</w:t>
      </w:r>
      <w:r>
        <w:t xml:space="preserve"> </w:t>
      </w:r>
      <w:r>
        <w:t xml:space="preserve">outside the band. functional: both variant classes pile high (limited specificity);</w:t>
      </w:r>
      <w:r>
        <w:t xml:space="preserve"> </w:t>
      </w:r>
      <w:r>
        <w:t xml:space="preserve">semi-circular via AlphaMissense.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Versioning.</w:t>
      </w:r>
      <w:r>
        <w:t xml:space="preserve"> </w:t>
      </w:r>
      <w:r>
        <w:t xml:space="preserve">Coefficients live in</w:t>
      </w:r>
      <w:r>
        <w:t xml:space="preserve"> </w:t>
      </w:r>
      <w:r>
        <w:rPr>
          <w:rStyle w:val="VerbatimChar"/>
        </w:rPr>
        <w:t xml:space="preserve">code/utils.py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_FOLD_CHANGE_MODEL</w:t>
      </w:r>
      <w:r>
        <w:t xml:space="preserve"> </w:t>
      </w:r>
      <w:r>
        <w:t xml:space="preserve">and the</w:t>
      </w:r>
      <w:r>
        <w:t xml:space="preserve"> </w:t>
      </w:r>
      <w:r>
        <w:t xml:space="preserve">impact model), regenerated by</w:t>
      </w:r>
      <w:r>
        <w:t xml:space="preserve"> </w:t>
      </w:r>
      <w:r>
        <w:rPr>
          <w:rStyle w:val="VerbatimChar"/>
        </w:rPr>
        <w:t xml:space="preserve">fit_foldchange_pae.py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fit_calibrated.py</w:t>
      </w:r>
      <w:r>
        <w:t xml:space="preserve">. Card</w:t>
      </w:r>
      <w:r>
        <w:t xml:space="preserve"> </w:t>
      </w:r>
      <w:r>
        <w:t xml:space="preserve">reflects the current shipped models; base benchmark = Genome Biology 2025.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Provisioning dependency.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needs the</w:t>
      </w:r>
      <w:r>
        <w:t xml:space="preserve"> </w:t>
      </w:r>
      <w:r>
        <w:rPr>
          <w:rStyle w:val="VerbatimChar"/>
        </w:rPr>
        <w:t xml:space="preserve">afdb_pae</w:t>
      </w:r>
      <w:r>
        <w:t xml:space="preserve"> </w:t>
      </w:r>
      <w: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build.py -source afdb_pae</w:t>
      </w:r>
      <w:r>
        <w:t xml:space="preserve">); if absent,</w:t>
      </w:r>
      <w:r>
        <w:t xml:space="preserve"> </w:t>
      </w:r>
      <w:r>
        <w:rPr>
          <w:rStyle w:val="VerbatimChar"/>
        </w:rPr>
        <w:t xml:space="preserve">pae_global</w:t>
      </w:r>
      <w:r>
        <w:t xml:space="preserve"> </w:t>
      </w:r>
      <w:r>
        <w:t xml:space="preserve">imputes to the training median and</w:t>
      </w:r>
      <w:r>
        <w:t xml:space="preserve"> </w:t>
      </w:r>
      <w:r>
        <w:t xml:space="preserve">the score degrades gracefully toward an identity/coverage-only prediction.</w:t>
      </w:r>
    </w:p>
    <w:p>
      <w:r>
        <w:pict>
          <v:rect style="width:0;height:1.5pt" o:hralign="center" o:hrstd="t" o:hr="t"/>
        </w:pict>
      </w:r>
    </w:p>
    <w:bookmarkEnd w:id="23"/>
    <w:bookmarkStart w:id="24" w:name="Xc228c336181d94cb5f2c13a8d97ac38b6b9a025"/>
    <w:p>
      <w:pPr>
        <w:pStyle w:val="Heading2"/>
      </w:pPr>
      <w:r>
        <w:t xml:space="preserve">Appendix A — Every feature evaluated, and where it comes from</w:t>
      </w:r>
    </w:p>
    <w:p>
      <w:pPr>
        <w:pStyle w:val="FirstParagraph"/>
      </w:pPr>
      <w:r>
        <w:t xml:space="preserve">The two shipped feature sets are the survivors of the full investigation (EXPERIMENTS.md,</w:t>
      </w:r>
      <w:r>
        <w:t xml:space="preserve"> </w:t>
      </w:r>
      <w:r>
        <w:t xml:space="preserve">E1–E44). This appendix catalogues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features that were built and tested — shipped</w:t>
      </w:r>
      <w:r>
        <w:t xml:space="preserve"> </w:t>
      </w:r>
      <w:r>
        <w:t xml:space="preserve">and rejected — grouped by data source, with what each is and why it did or didn't make</w:t>
      </w:r>
      <w:r>
        <w:t xml:space="preserve"> </w:t>
      </w:r>
      <w:r>
        <w:t xml:space="preserve">the cut. "S" = in</w:t>
      </w:r>
      <w:r>
        <w:t xml:space="preserve"> </w:t>
      </w:r>
      <w:r>
        <w:rPr>
          <w:rStyle w:val="VerbatimChar"/>
        </w:rPr>
        <w:t xml:space="preserve">fold_change_prob</w:t>
      </w:r>
      <w:r>
        <w:t xml:space="preserve"> </w:t>
      </w:r>
      <w:r>
        <w:t xml:space="preserve">(structural); "F" = in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(functional).</w:t>
      </w:r>
    </w:p>
    <w:p>
      <w:pPr>
        <w:pStyle w:val="BodyText"/>
      </w:pPr>
      <w:r>
        <w:rPr>
          <w:b/>
          <w:bCs/>
        </w:rPr>
        <w:t xml:space="preserve">Sequence-derived</w:t>
      </w:r>
      <w:r>
        <w:t xml:space="preserve"> </w:t>
      </w:r>
      <w:r>
        <w:t xml:space="preserve">(UniProt reference proteome +</w:t>
      </w:r>
      <w:r>
        <w:t xml:space="preserve"> </w:t>
      </w:r>
      <w:r>
        <w:rPr>
          <w:rStyle w:val="VerbatimChar"/>
        </w:rPr>
        <w:t xml:space="preserve">uniprot_sprot_varsplic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% sequence identity between canonical and alternative protein, from the trimmed changed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#2 structural 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canonical protein length (aa)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small real add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reglen</w:t>
            </w:r>
          </w:p>
        </w:tc>
        <w:tc>
          <w:tcPr/>
          <w:p>
            <w:pPr>
              <w:pStyle w:val="Compact"/>
            </w:pPr>
            <w:r>
              <w:t xml:space="preserve">length (aa) of the changed region</w:t>
            </w:r>
          </w:p>
        </w:tc>
        <w:tc>
          <w:tcPr/>
          <w:p>
            <w:pPr>
              <w:pStyle w:val="Compact"/>
            </w:pPr>
            <w:r>
              <w:t xml:space="preserve">dropped — it is the region-length confound; deliberately excluded (would measure size, not function)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Canonical-AlphaFold-structure-derived</w:t>
      </w:r>
      <w:r>
        <w:t xml:space="preserve"> </w:t>
      </w:r>
      <w:r>
        <w:t xml:space="preserve">(AlphaFold DB model + its confidence files):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pae_global</w:t>
            </w:r>
          </w:p>
        </w:tc>
        <w:tc>
          <w:tcPr/>
          <w:p>
            <w:pPr>
              <w:pStyle w:val="Compact"/>
            </w:pPr>
            <w:r>
              <w:t xml:space="preserve">mean Predicted Aligned Error over the whole canonical structure (fold rigidity/confidence)</w:t>
            </w:r>
          </w:p>
        </w:tc>
        <w:tc>
          <w:tcPr/>
          <w:p>
            <w:pPr>
              <w:pStyle w:val="Compact"/>
            </w:pPr>
            <w:r>
              <w:t xml:space="preserve">AFDB</w:t>
            </w:r>
            <w:r>
              <w:t xml:space="preserve"> </w:t>
            </w:r>
            <w:r>
              <w:rPr>
                <w:rStyle w:val="VerbatimChar"/>
              </w:rPr>
              <w:t xml:space="preserve">predicted_aligned_error_v6.json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afdb_pae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(S)</w:t>
            </w:r>
            <w:r>
              <w:t xml:space="preserve"> </w:t>
            </w:r>
            <w:r>
              <w:t xml:space="preserve">— dominant feature (the biggest lever, AUC 0.78→0.90)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buried_frac</w:t>
            </w:r>
          </w:p>
        </w:tc>
        <w:tc>
          <w:tcPr/>
          <w:p>
            <w:pPr>
              <w:pStyle w:val="Compact"/>
            </w:pPr>
            <w:r>
              <w:t xml:space="preserve">fraction of the changed region buried (RSA &lt; 0.25)</w:t>
            </w:r>
          </w:p>
        </w:tc>
        <w:tc>
          <w:tcPr/>
          <w:p>
            <w:pPr>
              <w:pStyle w:val="Compact"/>
            </w:pPr>
            <w:r>
              <w:t xml:space="preserve">AFDB model → Shrake–Rupley RSA →</w:t>
            </w:r>
            <w:r>
              <w:t xml:space="preserve"> </w:t>
            </w:r>
            <w:r>
              <w:rPr>
                <w:rStyle w:val="VerbatimChar"/>
              </w:rPr>
              <w:t xml:space="preserve">afdb_rsa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functional (buried → pathogenic-rich)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mean_rsa</w:t>
            </w:r>
          </w:p>
        </w:tc>
        <w:tc>
          <w:tcPr/>
          <w:p>
            <w:pPr>
              <w:pStyle w:val="Compact"/>
            </w:pPr>
            <w:r>
              <w:t xml:space="preserve">mean relative solvent accessibility of the changed region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dropped — near-duplicate of</w:t>
            </w:r>
            <w:r>
              <w:t xml:space="preserve"> </w:t>
            </w:r>
            <w:r>
              <w:rPr>
                <w:rStyle w:val="VerbatimChar"/>
              </w:rPr>
              <w:t xml:space="preserve">buried_frac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pae_reg2rest</w:t>
            </w:r>
          </w:p>
        </w:tc>
        <w:tc>
          <w:tcPr/>
          <w:p>
            <w:pPr>
              <w:pStyle w:val="Compact"/>
            </w:pPr>
            <w:r>
              <w:t xml:space="preserve">mean PAE between the changed region and the rest of the fold (region-specific rigidity)</w:t>
            </w:r>
          </w:p>
        </w:tc>
        <w:tc>
          <w:tcPr/>
          <w:p>
            <w:pPr>
              <w:pStyle w:val="Compact"/>
            </w:pPr>
            <w:r>
              <w:t xml:space="preserve">AFDB PAE</w:t>
            </w:r>
          </w:p>
        </w:tc>
        <w:tc>
          <w:tcPr/>
          <w:p>
            <w:pPr>
              <w:pStyle w:val="Compact"/>
            </w:pPr>
            <w:r>
              <w:t xml:space="preserve">dropped — strong alone (AUC 0.73) but redundant with</w:t>
            </w:r>
            <w:r>
              <w:t xml:space="preserve"> </w:t>
            </w:r>
            <w:r>
              <w:rPr>
                <w:rStyle w:val="VerbatimChar"/>
              </w:rPr>
              <w:t xml:space="preserve">pae_global</w:t>
            </w:r>
            <w:r>
              <w:t xml:space="preserve"> </w:t>
            </w:r>
            <w:r>
              <w:t xml:space="preserve">in the full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region_plddt</w:t>
            </w:r>
          </w:p>
        </w:tc>
        <w:tc>
          <w:tcPr/>
          <w:p>
            <w:pPr>
              <w:pStyle w:val="Compact"/>
            </w:pPr>
            <w:r>
              <w:t xml:space="preserve">mean per-residue pLDDT of the changed region (local order/confidence)</w:t>
            </w:r>
          </w:p>
        </w:tc>
        <w:tc>
          <w:tcPr/>
          <w:p>
            <w:pPr>
              <w:pStyle w:val="Compact"/>
            </w:pPr>
            <w:r>
              <w:t xml:space="preserve">AFDB model b-factors →</w:t>
            </w:r>
            <w:r>
              <w:t xml:space="preserve"> </w:t>
            </w:r>
            <w:r>
              <w:rPr>
                <w:rStyle w:val="VerbatimChar"/>
              </w:rPr>
              <w:t xml:space="preserve">afdb_plddt</w:t>
            </w:r>
          </w:p>
        </w:tc>
        <w:tc>
          <w:tcPr/>
          <w:p>
            <w:pPr>
              <w:pStyle w:val="Compact"/>
            </w:pPr>
            <w:r>
              <w:t xml:space="preserve">dropped — 0.79-correlated with</w:t>
            </w:r>
            <w:r>
              <w:t xml:space="preserve"> </w:t>
            </w:r>
            <w:r>
              <w:rPr>
                <w:rStyle w:val="VerbatimChar"/>
              </w:rPr>
              <w:t xml:space="preserve">buried_frac</w:t>
            </w:r>
            <w:r>
              <w:t xml:space="preserve">; +0.001 functional / +0.002 structural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helix_frac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strand_frac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structured_frac</w:t>
            </w:r>
          </w:p>
        </w:tc>
        <w:tc>
          <w:tcPr/>
          <w:p>
            <w:pPr>
              <w:pStyle w:val="Compact"/>
            </w:pPr>
            <w:r>
              <w:t xml:space="preserve">DSSP secondary-structure fractions of the changed region</w:t>
            </w:r>
          </w:p>
        </w:tc>
        <w:tc>
          <w:tcPr/>
          <w:p>
            <w:pPr>
              <w:pStyle w:val="Compact"/>
            </w:pPr>
            <w:r>
              <w:t xml:space="preserve">AFDB model → pydssp</w:t>
            </w:r>
          </w:p>
        </w:tc>
        <w:tc>
          <w:tcPr/>
          <w:p>
            <w:pPr>
              <w:pStyle w:val="Compact"/>
            </w:pPr>
            <w:r>
              <w:t xml:space="preserve">dropped — small, subsumed by burial/PAE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density</w:t>
            </w:r>
          </w:p>
        </w:tc>
        <w:tc>
          <w:tcPr/>
          <w:p>
            <w:pPr>
              <w:pStyle w:val="Compact"/>
            </w:pPr>
            <w:r>
              <w:t xml:space="preserve">Cβ&lt;8 Å contacts from the changed region to the rest of the fold</w:t>
            </w:r>
          </w:p>
        </w:tc>
        <w:tc>
          <w:tcPr/>
          <w:p>
            <w:pPr>
              <w:pStyle w:val="Compact"/>
            </w:pPr>
            <w:r>
              <w:t xml:space="preserve">AFDB model coordinates</w:t>
            </w:r>
          </w:p>
        </w:tc>
        <w:tc>
          <w:tcPr/>
          <w:p>
            <w:pPr>
              <w:pStyle w:val="Compact"/>
            </w:pPr>
            <w:r>
              <w:t xml:space="preserve">dropped — redundant with burial (partial corr collapses after burial)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dist_term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rel_center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frac_before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is_terminal</w:t>
            </w:r>
          </w:p>
        </w:tc>
        <w:tc>
          <w:tcPr/>
          <w:p>
            <w:pPr>
              <w:pStyle w:val="Compact"/>
            </w:pPr>
            <w:r>
              <w:t xml:space="preserve">position of the changed region relative to the protein termini</w:t>
            </w:r>
          </w:p>
        </w:tc>
        <w:tc>
          <w:tcPr/>
          <w:p>
            <w:pPr>
              <w:pStyle w:val="Compact"/>
            </w:pPr>
            <w:r>
              <w:t xml:space="preserve">changed-region coords +</w:t>
            </w:r>
            <w:r>
              <w:t xml:space="preserve"> </w:t>
            </w:r>
            <w:r>
              <w:rPr>
                <w:rStyle w:val="VerbatimChar"/>
              </w:rPr>
              <w:t xml:space="preserve">protL</w:t>
            </w:r>
          </w:p>
        </w:tc>
        <w:tc>
          <w:tcPr/>
          <w:p>
            <w:pPr>
              <w:pStyle w:val="Compact"/>
            </w:pPr>
            <w:r>
              <w:t xml:space="preserve">dropped — +0.017 structural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PAE, but PAE absorbs it (+0.002 after)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Isoform-AlphaFold-structure-derived</w:t>
      </w:r>
      <w:r>
        <w:t xml:space="preserve"> </w:t>
      </w:r>
      <w:r>
        <w:t xml:space="preserve">(from Miller et al. Genome Biology 2025 Table S4 —</w:t>
      </w:r>
      <w:r>
        <w:t xml:space="preserve"> </w:t>
      </w:r>
      <w:r>
        <w:t xml:space="preserve">computed from the</w:t>
      </w:r>
      <w:r>
        <w:t xml:space="preserve"> </w:t>
      </w:r>
      <w:r>
        <w:rPr>
          <w:i/>
          <w:iCs/>
        </w:rPr>
        <w:t xml:space="preserve">isoform's own</w:t>
      </w:r>
      <w:r>
        <w:t xml:space="preserve"> </w:t>
      </w:r>
      <w:r>
        <w:t xml:space="preserve">AF2 fold, hence</w:t>
      </w:r>
      <w:r>
        <w:t xml:space="preserve"> </w:t>
      </w:r>
      <w:r>
        <w:rPr>
          <w:b/>
          <w:bCs/>
        </w:rPr>
        <w:t xml:space="preserve">circular</w:t>
      </w:r>
      <w:r>
        <w:t xml:space="preserve"> </w:t>
      </w:r>
      <w:r>
        <w:t xml:space="preserve">for predicting TM):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helix/sheet/loop, radius of gyration, surface charge, IDR %</w:t>
            </w:r>
          </w:p>
        </w:tc>
        <w:tc>
          <w:tcPr/>
          <w:p>
            <w:pPr>
              <w:pStyle w:val="Compact"/>
            </w:pPr>
            <w:r>
              <w:t xml:space="preserve">global structural descriptors of the alternative isoform's predicted fold</w:t>
            </w:r>
          </w:p>
        </w:tc>
        <w:tc>
          <w:tcPr/>
          <w:p>
            <w:pPr>
              <w:pStyle w:val="Compact"/>
            </w:pPr>
            <w:r>
              <w:t xml:space="preserve">dropped — predict TM at AUC 0.92 but</w:t>
            </w:r>
            <w:r>
              <w:t xml:space="preserve"> </w:t>
            </w:r>
            <w:r>
              <w:rPr>
                <w:b/>
                <w:bCs/>
              </w:rPr>
              <w:t xml:space="preserve">circular</w:t>
            </w:r>
            <w:r>
              <w:t xml:space="preserve"> </w:t>
            </w:r>
            <w:r>
              <w:t xml:space="preserve">(need the isoform folded, i.e. already have TM)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PTM-change counts (</w:t>
            </w:r>
            <w:r>
              <w:rPr>
                <w:rStyle w:val="VerbatimChar"/>
              </w:rPr>
              <w:t xml:space="preserve">ptm_added</w:t>
            </w:r>
            <w:r>
              <w:t xml:space="preserve">, buried↔exposed,</w:t>
            </w:r>
            <w:r>
              <w:t xml:space="preserve"> </w:t>
            </w:r>
            <w:r>
              <w:rPr>
                <w:rStyle w:val="VerbatimChar"/>
              </w:rPr>
              <w:t xml:space="preserve">ptm_missed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how the isoform gains/loses/relocates canonical PTM sites</w:t>
            </w:r>
          </w:p>
        </w:tc>
        <w:tc>
          <w:tcPr/>
          <w:p>
            <w:pPr>
              <w:pStyle w:val="Compact"/>
            </w:pPr>
            <w:r>
              <w:t xml:space="preserve">dropped — non-circular but +0.002 functional (redundant with</w:t>
            </w:r>
            <w:r>
              <w:t xml:space="preserve"> </w:t>
            </w:r>
            <w:r>
              <w:rPr>
                <w:rStyle w:val="VerbatimChar"/>
              </w:rPr>
              <w:t xml:space="preserve">region_am</w:t>
            </w:r>
            <w:r>
              <w:t xml:space="preserve">/length)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/ radius deltas</w:t>
            </w:r>
          </w:p>
        </w:tc>
        <w:tc>
          <w:tcPr/>
          <w:p>
            <w:pPr>
              <w:pStyle w:val="Compact"/>
            </w:pPr>
            <w:r>
              <w:t xml:space="preserve">canonical-vs-isoform change in charge / radius of gyration</w:t>
            </w:r>
          </w:p>
        </w:tc>
        <w:tc>
          <w:tcPr/>
          <w:p>
            <w:pPr>
              <w:pStyle w:val="Compact"/>
            </w:pPr>
            <w:r>
              <w:t xml:space="preserve">dropped — ~0 contribution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Protein language model</w:t>
      </w:r>
      <w:r>
        <w:t xml:space="preserve"> </w:t>
      </w:r>
      <w:r>
        <w:t xml:space="preserve">(ESM-2, run over the sequences):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ESM-2 150M / 650M region + (canonical−alt) difference embeddings (mean-pooled, PCA-50)</w:t>
            </w:r>
          </w:p>
        </w:tc>
        <w:tc>
          <w:tcPr/>
          <w:p>
            <w:pPr>
              <w:pStyle w:val="Compact"/>
            </w:pPr>
            <w:r>
              <w:t xml:space="preserve">learned sequence representation of the changed region</w:t>
            </w:r>
          </w:p>
        </w:tc>
        <w:tc>
          <w:tcPr/>
          <w:p>
            <w:pPr>
              <w:pStyle w:val="Compact"/>
            </w:pPr>
            <w:r>
              <w:t xml:space="preserve">tested —</w:t>
            </w:r>
            <w:r>
              <w:t xml:space="preserve"> </w:t>
            </w:r>
            <w:r>
              <w:rPr>
                <w:i/>
                <w:iCs/>
              </w:rPr>
              <w:t xml:space="preserve">breaks the structural ceiling</w:t>
            </w:r>
            <w:r>
              <w:t xml:space="preserve"> </w:t>
            </w:r>
            <w:r>
              <w:t xml:space="preserve">(AUC 0.79→0.82) but heavy to provision;</w:t>
            </w:r>
            <w:r>
              <w:t xml:space="preserve"> </w:t>
            </w:r>
            <w:r>
              <w:rPr>
                <w:b/>
                <w:bCs/>
              </w:rPr>
              <w:t xml:space="preserve">not shipped</w:t>
            </w:r>
            <w:r>
              <w:t xml:space="preserve">. 650M ≈ 150M.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 multi-pool (mean+max+std+first+last token)</w:t>
            </w:r>
          </w:p>
        </w:tc>
        <w:tc>
          <w:tcPr/>
          <w:p>
            <w:pPr>
              <w:pStyle w:val="Compact"/>
            </w:pPr>
            <w:r>
              <w:t xml:space="preserve">positional pooling of per-residue embeddings</w:t>
            </w:r>
          </w:p>
        </w:tc>
        <w:tc>
          <w:tcPr/>
          <w:p>
            <w:pPr>
              <w:pStyle w:val="Compact"/>
            </w:pPr>
            <w:r>
              <w:t xml:space="preserve">dropped — equal to mean-pooling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Variant / constraint databases: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region_am</w:t>
            </w:r>
          </w:p>
        </w:tc>
        <w:tc>
          <w:tcPr/>
          <w:p>
            <w:pPr>
              <w:pStyle w:val="Compact"/>
            </w:pPr>
            <w:r>
              <w:t xml:space="preserve">mean AlphaMissense pathogenicity over the changed region</w:t>
            </w:r>
          </w:p>
        </w:tc>
        <w:tc>
          <w:tcPr/>
          <w:p>
            <w:pPr>
              <w:pStyle w:val="Compact"/>
            </w:pPr>
            <w:r>
              <w:t xml:space="preserve">AlphaMissense →</w:t>
            </w:r>
            <w:r>
              <w:t xml:space="preserve"> </w:t>
            </w:r>
            <w:r>
              <w:rPr>
                <w:rStyle w:val="VerbatimChar"/>
              </w:rPr>
              <w:t xml:space="preserve">am_pathogenicity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dominant functional 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loeuf</w:t>
            </w:r>
          </w:p>
        </w:tc>
        <w:tc>
          <w:tcPr/>
          <w:p>
            <w:pPr>
              <w:pStyle w:val="Compact"/>
            </w:pPr>
            <w:r>
              <w:t xml:space="preserve">gnomAD gene loss-intolerance (lower = more constrained)</w:t>
            </w:r>
          </w:p>
        </w:tc>
        <w:tc>
          <w:tcPr/>
          <w:p>
            <w:pPr>
              <w:pStyle w:val="Compact"/>
            </w:pPr>
            <w:r>
              <w:t xml:space="preserve">gnomAD v2.1.1 by-gene →</w:t>
            </w:r>
            <w:r>
              <w:t xml:space="preserve"> </w:t>
            </w:r>
            <w:r>
              <w:rPr>
                <w:rStyle w:val="VerbatimChar"/>
              </w:rPr>
              <w:t xml:space="preserve">gene_constraint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(F)</w:t>
            </w:r>
            <w:r>
              <w:t xml:space="preserve"> </w:t>
            </w:r>
            <w:r>
              <w:t xml:space="preserve">— non-circular constraint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pLI</w:t>
            </w:r>
          </w:p>
        </w:tc>
        <w:tc>
          <w:tcPr/>
          <w:p>
            <w:pPr>
              <w:pStyle w:val="Compact"/>
            </w:pPr>
            <w:r>
              <w:t xml:space="preserve">gnomAD probability of LoF-intolerance</w:t>
            </w:r>
          </w:p>
        </w:tc>
        <w:tc>
          <w:tcPr/>
          <w:p>
            <w:pPr>
              <w:pStyle w:val="Compact"/>
            </w:pPr>
            <w:r>
              <w:t xml:space="preserve">gnomAD</w:t>
            </w:r>
          </w:p>
        </w:tc>
        <w:tc>
          <w:tcPr/>
          <w:p>
            <w:pPr>
              <w:pStyle w:val="Compact"/>
            </w:pPr>
            <w:r>
              <w:t xml:space="preserve">dropped — weaker than LOEUF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peak-AM / mean-of-top-K AM</w:t>
            </w:r>
          </w:p>
        </w:tc>
        <w:tc>
          <w:tcPr/>
          <w:p>
            <w:pPr>
              <w:pStyle w:val="Compact"/>
            </w:pPr>
            <w:r>
              <w:t xml:space="preserve">hotspot AlphaMissense instead of regional mean</w:t>
            </w:r>
          </w:p>
        </w:tc>
        <w:tc>
          <w:tcPr/>
          <w:p>
            <w:pPr>
              <w:pStyle w:val="Compact"/>
            </w:pPr>
            <w:r>
              <w:t xml:space="preserve">AlphaMissense</w:t>
            </w:r>
          </w:p>
        </w:tc>
        <w:tc>
          <w:tcPr/>
          <w:p>
            <w:pPr>
              <w:pStyle w:val="Compact"/>
            </w:pPr>
            <w:r>
              <w:t xml:space="preserve">dropped — regional mean beats every peak (domain-scale regions)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func_site</w:t>
            </w:r>
          </w:p>
        </w:tc>
        <w:tc>
          <w:tcPr/>
          <w:p>
            <w:pPr>
              <w:pStyle w:val="Compact"/>
            </w:pPr>
            <w:r>
              <w:t xml:space="preserve">whether the region overlaps a curated UniProt functional residue</w:t>
            </w:r>
          </w:p>
        </w:tc>
        <w:tc>
          <w:tcPr/>
          <w:p>
            <w:pPr>
              <w:pStyle w:val="Compact"/>
            </w:pPr>
            <w:r>
              <w:t xml:space="preserve">UniProt features</w:t>
            </w:r>
          </w:p>
        </w:tc>
        <w:tc>
          <w:tcPr/>
          <w:p>
            <w:pPr>
              <w:pStyle w:val="Compact"/>
            </w:pPr>
            <w:r>
              <w:t xml:space="preserve">used in the</w:t>
            </w:r>
            <w:r>
              <w:t xml:space="preserve"> </w:t>
            </w:r>
            <w:r>
              <w:rPr>
                <w:i/>
                <w:iCs/>
              </w:rPr>
              <w:t xml:space="preserve">categorical</w:t>
            </w:r>
            <w:r>
              <w:t xml:space="preserve"> </w:t>
            </w:r>
            <w:r>
              <w:rPr>
                <w:rStyle w:val="VerbatimChar"/>
              </w:rPr>
              <w:t xml:space="preserve">impact</w:t>
            </w:r>
            <w:r>
              <w:t xml:space="preserve"> </w:t>
            </w:r>
            <w:r>
              <w:t xml:space="preserve">only (semi-circular for the probability)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Domain /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max_cov_loss</w:t>
            </w:r>
          </w:p>
        </w:tc>
        <w:tc>
          <w:tcPr/>
          <w:p>
            <w:pPr>
              <w:pStyle w:val="Compact"/>
            </w:pPr>
            <w:r>
              <w:t xml:space="preserve">maximum Pfam domain coverage (%) lost in the changed region</w:t>
            </w:r>
          </w:p>
        </w:tc>
        <w:tc>
          <w:tcPr/>
          <w:p>
            <w:pPr>
              <w:pStyle w:val="Compact"/>
            </w:pPr>
            <w:r>
              <w:t xml:space="preserve">HMMER</w:t>
            </w:r>
            <w:r>
              <w:t xml:space="preserve"> </w:t>
            </w:r>
            <w:r>
              <w:rPr>
                <w:rStyle w:val="VerbatimChar"/>
              </w:rPr>
              <w:t xml:space="preserve">hmmsearch --cut_ga</w:t>
            </w:r>
            <w:r>
              <w:t xml:space="preserve"> </w:t>
            </w:r>
            <w:r>
              <w:t xml:space="preserve">vs Pfam-A →</w:t>
            </w:r>
            <w:r>
              <w:t xml:space="preserve"> </w:t>
            </w:r>
            <w:r>
              <w:rPr>
                <w:rStyle w:val="VerbatimChar"/>
              </w:rPr>
              <w:t xml:space="preserve">pfam_match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(S and F)</w:t>
            </w:r>
            <w:r>
              <w:t xml:space="preserve"> </w:t>
            </w:r>
            <w:r>
              <w:t xml:space="preserve">— the one feature in both models (opposite signs)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fold_state</w:t>
            </w:r>
          </w:p>
        </w:tc>
        <w:tc>
          <w:tcPr/>
          <w:p>
            <w:pPr>
              <w:pStyle w:val="Compact"/>
            </w:pPr>
            <w:r>
              <w:t xml:space="preserve">folded / disordered, from UniProt HELIX/STRAND/disorder annotation</w:t>
            </w:r>
          </w:p>
        </w:tc>
        <w:tc>
          <w:tcPr/>
          <w:p>
            <w:pPr>
              <w:pStyle w:val="Compact"/>
            </w:pPr>
            <w:r>
              <w:t xml:space="preserve">UniProt features</w:t>
            </w:r>
          </w:p>
        </w:tc>
        <w:tc>
          <w:tcPr/>
          <w:p>
            <w:pPr>
              <w:pStyle w:val="Compact"/>
            </w:pPr>
            <w:r>
              <w:t xml:space="preserve">used upstream in the categorical</w:t>
            </w:r>
            <w:r>
              <w:t xml:space="preserve"> </w:t>
            </w:r>
            <w:r>
              <w:rPr>
                <w:rStyle w:val="VerbatimChar"/>
              </w:rPr>
              <w:t xml:space="preserve">impact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Cross-species conservation: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phyloP (region / whole-protein mean)</w:t>
            </w:r>
          </w:p>
        </w:tc>
        <w:tc>
          <w:tcPr/>
          <w:p>
            <w:pPr>
              <w:pStyle w:val="Compact"/>
            </w:pPr>
            <w:r>
              <w:t xml:space="preserve">evolutionary conservation of the changed region</w:t>
            </w:r>
          </w:p>
        </w:tc>
        <w:tc>
          <w:tcPr/>
          <w:p>
            <w:pPr>
              <w:pStyle w:val="Compact"/>
            </w:pPr>
            <w:r>
              <w:t xml:space="preserve">UCSC hg38 100-way phyloP bigWig + EBI coordinates API</w:t>
            </w:r>
          </w:p>
        </w:tc>
        <w:tc>
          <w:tcPr/>
          <w:p>
            <w:pPr>
              <w:pStyle w:val="Compact"/>
            </w:pPr>
            <w:r>
              <w:t xml:space="preserve">tested — a small structural add (+0.037 AUC on a 363-pair sample); not shipped pending scale-up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available:</w:t>
      </w:r>
      <w:r>
        <w:t xml:space="preserve"> </w:t>
      </w:r>
      <w:r>
        <w:rPr>
          <w:b/>
          <w:bCs/>
        </w:rPr>
        <w:t xml:space="preserve">NMD (nonsense-mediated decay)</w:t>
      </w:r>
      <w:r>
        <w:t xml:space="preserve"> </w:t>
      </w:r>
      <w:r>
        <w:t xml:space="preserve">— DoChaP filters NMD-targeted</w:t>
      </w:r>
      <w:r>
        <w:t xml:space="preserve"> </w:t>
      </w:r>
      <w:r>
        <w:t xml:space="preserve">transcripts at DB-build time, so degraded isoforms never reach the benchmark; NMD is</w:t>
      </w:r>
      <w:r>
        <w:t xml:space="preserve"> </w:t>
      </w:r>
      <w:r>
        <w:t xml:space="preserve">neither a feature nor a confound here.</w:t>
      </w:r>
    </w:p>
    <w:p>
      <w:r>
        <w:pict>
          <v:rect style="width:0;height:1.5pt" o:hralign="center" o:hrstd="t" o:hr="t"/>
        </w:pict>
      </w:r>
    </w:p>
    <w:bookmarkEnd w:id="24"/>
    <w:bookmarkStart w:id="34" w:name="appendix-b--comparable-published-methods"/>
    <w:p>
      <w:pPr>
        <w:pStyle w:val="Heading2"/>
      </w:pPr>
      <w:r>
        <w:t xml:space="preserve">Appendix B — Comparable published methods</w:t>
      </w:r>
    </w:p>
    <w:p>
      <w:pPr>
        <w:pStyle w:val="FirstParagraph"/>
      </w:pPr>
      <w:r>
        <w:t xml:space="preserve">We looked for published methods attempting each task and compare them below. A recurring</w:t>
      </w:r>
      <w:r>
        <w:t xml:space="preserve"> </w:t>
      </w:r>
      <w:r>
        <w:t xml:space="preserve">theme: for the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axis the prior work</w:t>
      </w:r>
      <w:r>
        <w:t xml:space="preserve"> </w:t>
      </w:r>
      <w:r>
        <w:rPr>
          <w:i/>
          <w:iCs/>
        </w:rPr>
        <w:t xml:space="preserve">folds every isoform</w:t>
      </w:r>
      <w:r>
        <w:t xml:space="preserve"> </w:t>
      </w:r>
      <w:r>
        <w:t xml:space="preserve">(expensive) and</w:t>
      </w:r>
      <w:r>
        <w:t xml:space="preserve"> </w:t>
      </w:r>
      <w:r>
        <w:rPr>
          <w:i/>
          <w:iCs/>
        </w:rPr>
        <w:t xml:space="preserve">catalogues</w:t>
      </w:r>
      <w:r>
        <w:t xml:space="preserve"> </w:t>
      </w:r>
      <w:r>
        <w:t xml:space="preserve">the result, whereas DOMAS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the fold-change label from cheap</w:t>
      </w:r>
      <w:r>
        <w:t xml:space="preserve"> </w:t>
      </w:r>
      <w:r>
        <w:t xml:space="preserve">canonical-only features; for the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axis the closest analogues score exon /</w:t>
      </w:r>
      <w:r>
        <w:t xml:space="preserve"> </w:t>
      </w:r>
      <w:r>
        <w:t xml:space="preserve">isoform importance from protein + conservation + expression features, on labels that are</w:t>
      </w:r>
      <w:r>
        <w:t xml:space="preserve"> </w:t>
      </w:r>
      <w:r>
        <w:t xml:space="preserve">related but not identical to ours (so AUCs are not head-to-head).</w:t>
      </w:r>
    </w:p>
    <w:bookmarkStart w:id="25" w:name="b1-structural-axis--fold_change_prob"/>
    <w:p>
      <w:pPr>
        <w:pStyle w:val="Heading3"/>
      </w:pPr>
      <w:r>
        <w:t xml:space="preserve">B.1 Structural axis —</w:t>
      </w:r>
      <w:r>
        <w:t xml:space="preserve"> </w:t>
      </w:r>
      <w:r>
        <w:rPr>
          <w:rStyle w:val="VerbatimChar"/>
        </w:rPr>
        <w:t xml:space="preserve">fold_change_prob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</w:pPr>
            <w:r>
              <w:t xml:space="preserve">relation to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Miller et al.,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Genome Biology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2025</w:t>
            </w:r>
            <w:r>
              <w:t xml:space="preserve"> </w:t>
            </w:r>
            <w:r>
              <w:t xml:space="preserve">(our label source)</w:t>
            </w:r>
          </w:p>
        </w:tc>
        <w:tc>
          <w:tcPr/>
          <w:p>
            <w:pPr>
              <w:pStyle w:val="Compact"/>
            </w:pPr>
            <w:r>
              <w:t xml:space="preserve">Fold all 11,161 human isoforms with</w:t>
            </w:r>
            <w:r>
              <w:t xml:space="preserve"> </w:t>
            </w:r>
            <w:r>
              <w:rPr>
                <w:b/>
                <w:bCs/>
              </w:rPr>
              <w:t xml:space="preserve">AlphaFold2</w:t>
            </w:r>
            <w:r>
              <w:t xml:space="preserve">; compare each to its canonical with TM-score + 5 other metrics (secondary structure, surface charge, radius of gyration, PTM SASA, IDR).</w:t>
            </w:r>
          </w:p>
        </w:tc>
        <w:tc>
          <w:tcPr/>
          <w:p>
            <w:pPr>
              <w:pStyle w:val="Compact"/>
            </w:pPr>
            <w:r>
              <w:t xml:space="preserve">Structural similarity largely tracks sequence identity; flags</w:t>
            </w:r>
            <w:r>
              <w:t xml:space="preserve"> </w:t>
            </w:r>
            <w:r>
              <w:rPr>
                <w:b/>
                <w:bCs/>
              </w:rPr>
              <w:t xml:space="preserve">328 high-identity / low-TM</w:t>
            </w:r>
            <w:r>
              <w:t xml:space="preserve"> </w:t>
            </w:r>
            <w:r>
              <w:t xml:space="preserve">outliers (53 with clear domain alterations). A</w:t>
            </w:r>
            <w:r>
              <w:t xml:space="preserve"> </w:t>
            </w:r>
            <w:r>
              <w:rPr>
                <w:i/>
                <w:iCs/>
              </w:rPr>
              <w:t xml:space="preserve">characterisation</w:t>
            </w:r>
            <w:r>
              <w:t xml:space="preserve">, not a predictor.</w:t>
            </w:r>
          </w:p>
        </w:tc>
        <w:tc>
          <w:tcPr/>
          <w:p>
            <w:pPr>
              <w:pStyle w:val="Compact"/>
            </w:pPr>
            <w:r>
              <w:t xml:space="preserve">This is exactly the TM ground truth we predict. We reproduce their label from</w:t>
            </w:r>
            <w:r>
              <w:t xml:space="preserve"> </w:t>
            </w:r>
            <w:r>
              <w:rPr>
                <w:b/>
                <w:bCs/>
              </w:rPr>
              <w:t xml:space="preserve">4 cheap canonical features (no isoform folding)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b/>
                <w:bCs/>
              </w:rPr>
              <w:t xml:space="preserve">AUC 0.90 / R² 0.66</w:t>
            </w:r>
            <w:r>
              <w:t xml:space="preserve">, and quantify the high-id/low-TM blind spot they identified.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Yang et al., bioRxiv 2024.01.30.578053</w:t>
            </w:r>
          </w:p>
        </w:tc>
        <w:tc>
          <w:tcPr/>
          <w:p>
            <w:pPr>
              <w:pStyle w:val="Compact"/>
            </w:pPr>
            <w:r>
              <w:t xml:space="preserve">AF2 structures of AS isoforms; statistical characterisation of where AS falls.</w:t>
            </w:r>
          </w:p>
        </w:tc>
        <w:tc>
          <w:tcPr/>
          <w:p>
            <w:pPr>
              <w:pStyle w:val="Compact"/>
            </w:pPr>
            <w:r>
              <w:t xml:space="preserve">AS regions are</w:t>
            </w:r>
            <w:r>
              <w:t xml:space="preserve"> </w:t>
            </w:r>
            <w:r>
              <w:rPr>
                <w:b/>
                <w:bCs/>
              </w:rPr>
              <w:t xml:space="preserve">enriched in loops / exposed / disordered residues</w:t>
            </w:r>
            <w:r>
              <w:t xml:space="preserve">; qualitative case studies (Septin-9, Tau). No TM predictor, no isoform-vs-isoform structural score.</w:t>
            </w:r>
          </w:p>
        </w:tc>
        <w:tc>
          <w:tcPr/>
          <w:p>
            <w:pPr>
              <w:pStyle w:val="Compact"/>
            </w:pPr>
            <w:r>
              <w:t xml:space="preserve">Supports our finding that exposed/peripheral changes drive low TM; provides no quantitative predictor to compare against.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ASpdb</w:t>
            </w:r>
            <w:r>
              <w:t xml:space="preserve"> </w:t>
            </w:r>
            <w:r>
              <w:t xml:space="preserve">(Nucleic Acids Research, Database issue 2025)</w:t>
            </w:r>
          </w:p>
        </w:tc>
        <w:tc>
          <w:tcPr/>
          <w:p>
            <w:pPr>
              <w:pStyle w:val="Compact"/>
            </w:pPr>
            <w:r>
              <w:t xml:space="preserve">Knowledgebase of &gt;3,400 canonical + &gt;7,200 alternative-isoform AF2 models with</w:t>
            </w:r>
            <w:r>
              <w:t xml:space="preserve"> </w:t>
            </w:r>
            <w:r>
              <w:rPr>
                <w:b/>
                <w:bCs/>
              </w:rPr>
              <w:t xml:space="preserve">comparative structural-alteration calls</w:t>
            </w:r>
            <w:r>
              <w:t xml:space="preserve"> </w:t>
            </w:r>
            <w:r>
              <w:t xml:space="preserve">and visualisation.</w:t>
            </w:r>
          </w:p>
        </w:tc>
        <w:tc>
          <w:tcPr/>
          <w:p>
            <w:pPr>
              <w:pStyle w:val="Compact"/>
            </w:pPr>
            <w:r>
              <w:t xml:space="preserve">A resource, not a predictive model; provides a second,</w:t>
            </w:r>
            <w:r>
              <w:t xml:space="preserve"> </w:t>
            </w:r>
            <w:r>
              <w:rPr>
                <w:b/>
                <w:bCs/>
              </w:rPr>
              <w:t xml:space="preserve">non-TM</w:t>
            </w:r>
            <w:r>
              <w:t xml:space="preserve"> </w:t>
            </w:r>
            <w:r>
              <w:t xml:space="preserve">structural-alteration label.</w:t>
            </w:r>
          </w:p>
        </w:tc>
        <w:tc>
          <w:tcPr/>
          <w:p>
            <w:pPr>
              <w:pStyle w:val="Compact"/>
            </w:pPr>
            <w:r>
              <w:t xml:space="preserve">Complementary independent label source (flagged in our EXPERIMENTS E40 as a future cross-check; its calls are per-entry web content, not bulk-downloadable).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DIGGER / DIGGER 2.0</w:t>
            </w:r>
            <w:r>
              <w:t xml:space="preserve"> </w:t>
            </w:r>
            <w:r>
              <w:t xml:space="preserve">(Louadi et al., NAR 2021 / 2025)</w:t>
            </w:r>
          </w:p>
        </w:tc>
        <w:tc>
          <w:tcPr/>
          <w:p>
            <w:pPr>
              <w:pStyle w:val="Compact"/>
            </w:pPr>
            <w:r>
              <w:t xml:space="preserve">Augment the protein–protein interaction network with</w:t>
            </w:r>
            <w:r>
              <w:t xml:space="preserve"> </w:t>
            </w:r>
            <w:r>
              <w:rPr>
                <w:b/>
                <w:bCs/>
              </w:rPr>
              <w:t xml:space="preserve">domain–domain interactions</w:t>
            </w:r>
            <w:r>
              <w:t xml:space="preserve"> </w:t>
            </w:r>
            <w:r>
              <w:t xml:space="preserve">+ splicing; identify which interactions/domains an AS event disrupts (interaction rewiring).</w:t>
            </w:r>
          </w:p>
        </w:tc>
        <w:tc>
          <w:tcPr/>
          <w:p>
            <w:pPr>
              <w:pStyle w:val="Compact"/>
            </w:pPr>
            <w:r>
              <w:t xml:space="preserve">Network/rule-based (no AUC); maps exon → lost domain → lost interactions.</w:t>
            </w:r>
          </w:p>
        </w:tc>
        <w:tc>
          <w:tcPr/>
          <w:p>
            <w:pPr>
              <w:pStyle w:val="Compact"/>
            </w:pPr>
            <w:r>
              <w:t xml:space="preserve">Different structural readout —</w:t>
            </w:r>
            <w:r>
              <w:t xml:space="preserve"> </w:t>
            </w:r>
            <w:r>
              <w:rPr>
                <w:i/>
                <w:iCs/>
              </w:rPr>
              <w:t xml:space="preserve">interaction</w:t>
            </w:r>
            <w:r>
              <w:t xml:space="preserve"> </w:t>
            </w:r>
            <w:r>
              <w:t xml:space="preserve">consequence, not global fold. Closest in spirit to our</w:t>
            </w:r>
            <w:r>
              <w:t xml:space="preserve"> </w:t>
            </w:r>
            <w:r>
              <w:rPr>
                <w:rStyle w:val="VerbatimChar"/>
              </w:rPr>
              <w:t xml:space="preserve">max_cov_loss</w:t>
            </w:r>
            <w:r>
              <w:t xml:space="preserve"> </w:t>
            </w:r>
            <w:r>
              <w:t xml:space="preserve">(domain loss) feature; complementary to a fold-change probability.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Bottom line (structural).</w:t>
      </w:r>
      <w:r>
        <w:t xml:space="preserve"> </w:t>
      </w:r>
      <w:r>
        <w:t xml:space="preserve">No prior method offers a cheap</w:t>
      </w:r>
      <w:r>
        <w:t xml:space="preserve"> </w:t>
      </w:r>
      <w:r>
        <w:rPr>
          <w:i/>
          <w:iCs/>
        </w:rPr>
        <w:t xml:space="preserve">predictor</w:t>
      </w:r>
      <w:r>
        <w:t xml:space="preserve"> </w:t>
      </w:r>
      <w:r>
        <w:t xml:space="preserve">of the</w:t>
      </w:r>
      <w:r>
        <w:t xml:space="preserve"> </w:t>
      </w:r>
      <w:r>
        <w:t xml:space="preserve">fold-change (TM) label — they fold the isoform or catalogue outcomes. DOMAS's contribution</w:t>
      </w:r>
      <w:r>
        <w:t xml:space="preserve"> </w:t>
      </w:r>
      <w:r>
        <w:t xml:space="preserve">is a calibrated ~AUC-0.90 predictor from canonical-only features, with</w:t>
      </w:r>
      <w:r>
        <w:t xml:space="preserve"> </w:t>
      </w:r>
      <w:r>
        <w:rPr>
          <w:rStyle w:val="VerbatimChar"/>
          <w:b/>
          <w:bCs/>
        </w:rPr>
        <w:t xml:space="preserve">pae_global</w:t>
      </w:r>
      <w:r>
        <w:rPr>
          <w:b/>
          <w:bCs/>
        </w:rPr>
        <w:t xml:space="preserve"> </w:t>
      </w:r>
      <w:r>
        <w:rPr>
          <w:b/>
          <w:bCs/>
        </w:rPr>
        <w:t xml:space="preserve">(PAE)</w:t>
      </w:r>
      <w:r>
        <w:t xml:space="preserve"> </w:t>
      </w:r>
      <w:r>
        <w:t xml:space="preserve">as the dominant signal — to our knowledge not previously used for this task.</w:t>
      </w:r>
    </w:p>
    <w:bookmarkEnd w:id="25"/>
    <w:bookmarkStart w:id="33" w:name="b2-functional-axis--impact_prob"/>
    <w:p>
      <w:pPr>
        <w:pStyle w:val="Heading3"/>
      </w:pPr>
      <w:r>
        <w:t xml:space="preserve">B.2 Functional axis —</w:t>
      </w:r>
      <w:r>
        <w:t xml:space="preserve"> </w:t>
      </w:r>
      <w:r>
        <w:rPr>
          <w:rStyle w:val="VerbatimChar"/>
        </w:rPr>
        <w:t xml:space="preserve">impact_prob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reported result</w:t>
            </w:r>
          </w:p>
        </w:tc>
        <w:tc>
          <w:tcPr/>
          <w:p>
            <w:pPr>
              <w:pStyle w:val="Compact"/>
            </w:pPr>
            <w:r>
              <w:t xml:space="preserve">relation to 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ExonImpact</w:t>
            </w:r>
            <w:r>
              <w:t xml:space="preserve"> </w:t>
            </w:r>
            <w:r>
              <w:t xml:space="preserve">(2017,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PMC5390777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t xml:space="preserve">on protein-level features of the spliced exon: predicted disorder (SPINE-D), ASA + secondary structure (SPINE-X), Pfam-domain overlap, PTM sites (dbPTM), conservation, exon length.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10-fold CV AUC 0.83–0.835.</w:t>
            </w:r>
            <w:r>
              <w:t xml:space="preserve"> </w:t>
            </w:r>
            <w:r>
              <w:t xml:space="preserve">Positives = 4,211 HGMD splice-disrupting exons; negatives = 2,664 1000-Genomes in-frame indel exons.</w:t>
            </w:r>
          </w:p>
        </w:tc>
        <w:tc>
          <w:tcPr/>
          <w:p>
            <w:pPr>
              <w:pStyle w:val="Compact"/>
            </w:pPr>
            <w:r>
              <w:t xml:space="preserve">The closest analogue. Higher AUC, but on an</w:t>
            </w:r>
            <w:r>
              <w:t xml:space="preserve"> </w:t>
            </w:r>
            <w:r>
              <w:rPr>
                <w:b/>
                <w:bCs/>
              </w:rPr>
              <w:t xml:space="preserve">easier, different label</w:t>
            </w:r>
            <w:r>
              <w:t xml:space="preserve"> </w:t>
            </w:r>
            <w:r>
              <w:t xml:space="preserve">(disease-exon vs benign-indel-exon, with exon length as a feature) and using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disorder/ASA where we use AlphaFold-derived burial. Our label (pathogenic-vs-benign among variant-overlapping regions, length-controlled, gene-grouped) is harder — AUCs are not head-to-head.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TRIFID</w:t>
            </w:r>
            <w:r>
              <w:t xml:space="preserve"> </w:t>
            </w:r>
            <w:r>
              <w:t xml:space="preserve">(Pozo et al.,</w:t>
            </w:r>
            <w:r>
              <w:t xml:space="preserve"> </w:t>
            </w:r>
            <w:r>
              <w:rPr>
                <w:i/>
                <w:iCs/>
              </w:rPr>
              <w:t xml:space="preserve">NAR Genomics &amp; Bioinformatics</w:t>
            </w:r>
            <w:r>
              <w:t xml:space="preserve"> </w:t>
            </w:r>
            <w:r>
              <w:t xml:space="preserve">2021)</w:t>
            </w:r>
          </w:p>
        </w:tc>
        <w:tc>
          <w:tcPr/>
          <w:p>
            <w:pPr>
              <w:pStyle w:val="Compact"/>
            </w:pPr>
            <w:r>
              <w:t xml:space="preserve">Gradient-boosted trees scoring the</w:t>
            </w:r>
            <w:r>
              <w:t xml:space="preserve"> </w:t>
            </w:r>
            <w:r>
              <w:rPr>
                <w:b/>
                <w:bCs/>
              </w:rPr>
              <w:t xml:space="preserve">functional relevance of each splice isoform</w:t>
            </w:r>
            <w:r>
              <w:t xml:space="preserve"> </w:t>
            </w:r>
            <w:r>
              <w:t xml:space="preserve">(0–1) from cross-species conservation, expression, and APPRIS/Pfam-integrity features.</w:t>
            </w:r>
          </w:p>
        </w:tc>
        <w:tc>
          <w:tcPr/>
          <w:p>
            <w:pPr>
              <w:pStyle w:val="Compact"/>
            </w:pPr>
            <w:r>
              <w:t xml:space="preserve">Conservation is the top predictor; high-scoring isoforms' exons are under purifying selection, low-scoring ones neutral. Bimodal scores. Integrated into APPRIS.</w:t>
            </w:r>
          </w:p>
        </w:tc>
        <w:tc>
          <w:tcPr/>
          <w:p>
            <w:pPr>
              <w:pStyle w:val="Compact"/>
            </w:pPr>
            <w:r>
              <w:t xml:space="preserve">Isoform-level (not region-level) and no single AUC against a variant label. Its top signal (conservation) is the axis we tested as phyloP (small add). Complementary; different granularity.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pext</w:t>
            </w:r>
            <w:r>
              <w:t xml:space="preserve"> </w:t>
            </w:r>
            <w:r>
              <w:t xml:space="preserve">(Cummings et al.,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 </w:t>
            </w:r>
            <w:r>
              <w:t xml:space="preserve">2020)</w:t>
            </w:r>
          </w:p>
        </w:tc>
        <w:tc>
          <w:tcPr/>
          <w:p>
            <w:pPr>
              <w:pStyle w:val="Compact"/>
            </w:pPr>
            <w:r>
              <w:t xml:space="preserve">Not ML:</w:t>
            </w:r>
            <w:r>
              <w:t xml:space="preserve"> </w:t>
            </w:r>
            <w:r>
              <w:rPr>
                <w:b/>
                <w:bCs/>
              </w:rPr>
              <w:t xml:space="preserve">GTEx transcript-expression</w:t>
            </w:r>
            <w:r>
              <w:t xml:space="preserve">-based per-base annotation (proportion expressed across transcripts) — is the region actually expressed?</w:t>
            </w:r>
          </w:p>
        </w:tc>
        <w:tc>
          <w:tcPr/>
          <w:p>
            <w:pPr>
              <w:pStyle w:val="Compact"/>
            </w:pPr>
            <w:r>
              <w:t xml:space="preserve">Low-pext filtering removes</w:t>
            </w:r>
            <w:r>
              <w:t xml:space="preserve"> </w:t>
            </w:r>
            <w:r>
              <w:rPr>
                <w:b/>
                <w:bCs/>
              </w:rPr>
              <w:t xml:space="preserve">22.8%</w:t>
            </w:r>
            <w:r>
              <w:t xml:space="preserve"> </w:t>
            </w:r>
            <w:r>
              <w:t xml:space="preserve">of pLoF in haploinsufficient genes but only</w:t>
            </w:r>
            <w:r>
              <w:t xml:space="preserve"> </w:t>
            </w:r>
            <w:r>
              <w:rPr>
                <w:b/>
                <w:bCs/>
              </w:rPr>
              <w:t xml:space="preserve">3.8%</w:t>
            </w:r>
            <w:r>
              <w:t xml:space="preserve"> </w:t>
            </w:r>
            <w:r>
              <w:t xml:space="preserve">of ClinVar pathogenic variants.</w:t>
            </w:r>
          </w:p>
        </w:tc>
        <w:tc>
          <w:tcPr/>
          <w:p>
            <w:pPr>
              <w:pStyle w:val="Compact"/>
            </w:pPr>
            <w:r>
              <w:t xml:space="preserve">Orthogonal axis (expression) to ours (constraint + structure). We</w:t>
            </w:r>
            <w:r>
              <w:t xml:space="preserve"> </w:t>
            </w:r>
            <w:r>
              <w:rPr>
                <w:i/>
                <w:iCs/>
              </w:rPr>
              <w:t xml:space="preserve">considered but did not use</w:t>
            </w:r>
            <w:r>
              <w:t xml:space="preserve"> </w:t>
            </w:r>
            <w:r>
              <w:t xml:space="preserve">GTEx (E41); pext is the strong published version of that idea and is complementary to</w:t>
            </w:r>
            <w:r>
              <w:t xml:space="preserve"> </w:t>
            </w:r>
            <w:r>
              <w:rPr>
                <w:rStyle w:val="VerbatimChar"/>
              </w:rPr>
              <w:t xml:space="preserve">impact_prob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direct comparators.</w:t>
      </w:r>
      <w:r>
        <w:t xml:space="preserve"> </w:t>
      </w:r>
      <w:r>
        <w:t xml:space="preserve">SpliceAI / MMSplice / AbSplice predict</w:t>
      </w:r>
      <w:r>
        <w:t xml:space="preserve"> </w:t>
      </w:r>
      <w:r>
        <w:rPr>
          <w:i/>
          <w:iCs/>
        </w:rPr>
        <w:t xml:space="preserve">whether a variant</w:t>
      </w:r>
      <w:r>
        <w:rPr>
          <w:i/>
          <w:iCs/>
        </w:rPr>
        <w:t xml:space="preserve"> </w:t>
      </w:r>
      <w:r>
        <w:rPr>
          <w:i/>
          <w:iCs/>
        </w:rPr>
        <w:t xml:space="preserve">alters splicing</w:t>
      </w:r>
      <w:r>
        <w:t xml:space="preserve"> </w:t>
      </w:r>
      <w:r>
        <w:t xml:space="preserve">(the upstream event), not the functional consequence of the resulting</w:t>
      </w:r>
      <w:r>
        <w:t xml:space="preserve"> </w:t>
      </w:r>
      <w:r>
        <w:t xml:space="preserve">spliced region — a different task one level up. AlphaMissense scores single missense</w:t>
      </w:r>
      <w:r>
        <w:t xml:space="preserve"> </w:t>
      </w:r>
      <w:r>
        <w:t xml:space="preserve">variants; we</w:t>
      </w:r>
      <w:r>
        <w:t xml:space="preserve"> </w:t>
      </w:r>
      <w:r>
        <w:rPr>
          <w:i/>
          <w:iCs/>
        </w:rPr>
        <w:t xml:space="preserve">consume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region_am</w:t>
      </w:r>
      <w:r>
        <w:t xml:space="preserve"> </w:t>
      </w:r>
      <w:r>
        <w:t xml:space="preserve">and operate at the region level.</w:t>
      </w:r>
    </w:p>
    <w:p>
      <w:pPr>
        <w:pStyle w:val="BodyText"/>
      </w:pPr>
      <w:r>
        <w:rPr>
          <w:b/>
          <w:bCs/>
        </w:rPr>
        <w:t xml:space="preserve">Bottom line (functional).</w:t>
      </w:r>
      <w:r>
        <w:t xml:space="preserve"> </w:t>
      </w:r>
      <w:r>
        <w:t xml:space="preserve">DOMAS's</w:t>
      </w:r>
      <w:r>
        <w:t xml:space="preserve"> </w:t>
      </w:r>
      <w:r>
        <w:rPr>
          <w:rStyle w:val="VerbatimChar"/>
        </w:rPr>
        <w:t xml:space="preserve">impact_prob</w:t>
      </w:r>
      <w:r>
        <w:t xml:space="preserve"> </w:t>
      </w:r>
      <w:r>
        <w:t xml:space="preserve">sits in the same family as ExonImpact</w:t>
      </w:r>
      <w:r>
        <w:t xml:space="preserve"> </w:t>
      </w:r>
      <w:r>
        <w:t xml:space="preserve">and TRIFID (protein/constraint features → functional-importance score) but is</w:t>
      </w:r>
      <w:r>
        <w:t xml:space="preserve"> </w:t>
      </w:r>
      <w:r>
        <w:rPr>
          <w:b/>
          <w:bCs/>
        </w:rPr>
        <w:t xml:space="preserve">region-level, calibrated, gene-grouped, and length-controlled</w:t>
      </w:r>
      <w:r>
        <w:t xml:space="preserve">, and it is explicitly</w:t>
      </w:r>
      <w:r>
        <w:t xml:space="preserve"> </w:t>
      </w:r>
      <w:r>
        <w:t xml:space="preserve">paired with the orthogonal structural score. Its AUC (0.766) is lower than ExonImpact's</w:t>
      </w:r>
      <w:r>
        <w:t xml:space="preserve"> </w:t>
      </w:r>
      <w:r>
        <w:t xml:space="preserve">headline 0.83, but on a deliberately harder, confound-controlled label; the honest framing</w:t>
      </w:r>
      <w:r>
        <w:t xml:space="preserve"> </w:t>
      </w:r>
      <w:r>
        <w:t xml:space="preserve">throughout is that it is an</w:t>
      </w:r>
      <w:r>
        <w:t xml:space="preserve"> </w:t>
      </w:r>
      <w:r>
        <w:rPr>
          <w:b/>
          <w:bCs/>
        </w:rPr>
        <w:t xml:space="preserve">enrichment/prioritisation</w:t>
      </w:r>
      <w:r>
        <w:t xml:space="preserve"> </w:t>
      </w:r>
      <w:r>
        <w:t xml:space="preserve">signal, not a classifier.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hyperlink r:id="rId27">
        <w:r>
          <w:rPr>
            <w:rStyle w:val="Hyperlink"/>
          </w:rPr>
          <w:t xml:space="preserve">Miller et al., Genome Biology 2025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Yang et al., bioRxiv 578053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ASpdb, NAR 2025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DIGGER 2.0, NAR 2025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ExonImpact, PMC5390777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TRIFID, NAR Genom. Bioinform. 2021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pext / Cummings et al., Nature 2020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hyperlink" Id="rId29" Target="https://academic.oup.com/nar/article/53/D1/D331/7893317" TargetMode="External" /><Relationship Type="http://schemas.openxmlformats.org/officeDocument/2006/relationships/hyperlink" Id="rId30" Target="https://academic.oup.com/nar/article/53/W1/W245/8126897" TargetMode="External" /><Relationship Type="http://schemas.openxmlformats.org/officeDocument/2006/relationships/hyperlink" Id="rId31" Target="https://academic.oup.com/nargab/article/3/2/lqab044/6281449" TargetMode="External" /><Relationship Type="http://schemas.openxmlformats.org/officeDocument/2006/relationships/hyperlink" Id="rId27" Target="https://link.springer.com/article/10.1186/s13059-025-03744-x" TargetMode="External" /><Relationship Type="http://schemas.openxmlformats.org/officeDocument/2006/relationships/hyperlink" Id="rId26" Target="https://pmc.ncbi.nlm.nih.gov/articles/PMC5390777" TargetMode="External" /><Relationship Type="http://schemas.openxmlformats.org/officeDocument/2006/relationships/hyperlink" Id="rId28" Target="https://www.biorxiv.org/content/10.1101/2024.01.30.578053v2" TargetMode="External" /><Relationship Type="http://schemas.openxmlformats.org/officeDocument/2006/relationships/hyperlink" Id="rId32" Target="https://www.nature.com/articles/s41586-020-2329-2" TargetMode="External" /><Relationship Type="http://schemas.openxmlformats.org/officeDocument/2006/relationships/hyperlink" Id="rId12" Target="mailto:acc@0.5" TargetMode="External" /><Relationship Type="http://schemas.openxmlformats.org/officeDocument/2006/relationships/hyperlink" Id="rId9" Target="reproduce_model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cademic.oup.com/nar/article/53/D1/D331/7893317" TargetMode="External" /><Relationship Type="http://schemas.openxmlformats.org/officeDocument/2006/relationships/hyperlink" Id="rId30" Target="https://academic.oup.com/nar/article/53/W1/W245/8126897" TargetMode="External" /><Relationship Type="http://schemas.openxmlformats.org/officeDocument/2006/relationships/hyperlink" Id="rId31" Target="https://academic.oup.com/nargab/article/3/2/lqab044/6281449" TargetMode="External" /><Relationship Type="http://schemas.openxmlformats.org/officeDocument/2006/relationships/hyperlink" Id="rId27" Target="https://link.springer.com/article/10.1186/s13059-025-03744-x" TargetMode="External" /><Relationship Type="http://schemas.openxmlformats.org/officeDocument/2006/relationships/hyperlink" Id="rId26" Target="https://pmc.ncbi.nlm.nih.gov/articles/PMC5390777" TargetMode="External" /><Relationship Type="http://schemas.openxmlformats.org/officeDocument/2006/relationships/hyperlink" Id="rId28" Target="https://www.biorxiv.org/content/10.1101/2024.01.30.578053v2" TargetMode="External" /><Relationship Type="http://schemas.openxmlformats.org/officeDocument/2006/relationships/hyperlink" Id="rId32" Target="https://www.nature.com/articles/s41586-020-2329-2" TargetMode="External" /><Relationship Type="http://schemas.openxmlformats.org/officeDocument/2006/relationships/hyperlink" Id="rId12" Target="mailto:acc@0.5" TargetMode="External" /><Relationship Type="http://schemas.openxmlformats.org/officeDocument/2006/relationships/hyperlink" Id="rId9" Target="reproduce_model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DOMAS Calibrated Scores — Model Cards</dc:title>
  <dc:creator/>
  <cp:keywords/>
  <dcterms:created xsi:type="dcterms:W3CDTF">2026-07-25T11:07:35Z</dcterms:created>
  <dcterms:modified xsi:type="dcterms:W3CDTF">2026-07-25T11:07:35Z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