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СОДЕРЖАНИЕ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dt>
      <w:sdtPr>
        <w15:appearance w15:val="boundingBox"/>
        <w:id w:val="1029455380"/>
        <w:docPartObj>
          <w:docPartGallery w:val="Table of Contents"/>
          <w:docPartUnique w:val="true"/>
        </w:docPartObj>
        <w:rPr>
          <w:sz w:val="28"/>
          <w:szCs w:val="28"/>
        </w:rPr>
      </w:sdtPr>
      <w:sdtContent>
        <w:p>
          <w:pPr>
            <w:suppressLineNumbers w:val="false"/>
            <w:pBdr/>
            <w:spacing w:after="0" w:afterAutospacing="0" w:line="360" w:lineRule="auto"/>
            <w:ind w:firstLine="709"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87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b w:val="0"/>
              <w:bCs w:val="0"/>
              <w:sz w:val="28"/>
              <w:szCs w:val="28"/>
            </w:rPr>
          </w:r>
          <w:hyperlink w:tooltip="#_Toc9" w:anchor="_Toc9" w:history="1">
            <w:r>
              <w:rPr>
                <w:rStyle w:val="888"/>
              </w:rPr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</w:rPr>
              <w:t xml:space="preserve">ВВЕДЕНИЕ</w:t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7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b w:val="0"/>
              <w:bCs w:val="0"/>
              <w:sz w:val="28"/>
              <w:szCs w:val="28"/>
            </w:rPr>
          </w:pPr>
          <w:hyperlink w:tooltip="#_Toc10" w:anchor="_Toc10" w:history="1">
            <w:r>
              <w:rPr>
                <w:rStyle w:val="888"/>
              </w:rPr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</w:rPr>
              <w:t xml:space="preserve">1 СИСТЕМЫ ПЕРЕВОДА СРЕДСТВ МЕЖДУ ЭЛЕКТРОННЫМИ КОШЕЛЬКАМИ, СУЩЕСТВУЮЩИЕ СИСТЕМЫ ПЕРЕВОДА СРЕДСТВ МЕЖДУ ЭЛЕКТРОННЫМИ КОШЕЛЬКАМИ, ОСНОВАННЫЕ НА АЛГОРИТМАХ ZKP</w:t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90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11" w:anchor="_Toc11" w:history="1">
            <w:r>
              <w:rPr>
                <w:rStyle w:val="888"/>
              </w:rPr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1.1 Система перевода средств между электронными кошельками и её общие характеристики</w:t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90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12" w:anchor="_Toc12" w:history="1">
            <w:r>
              <w:rPr>
                <w:rStyle w:val="888"/>
              </w:rPr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1.2 Обзор существующих аналогов</w:t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90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13" w:anchor="_Toc13" w:history="1">
            <w:r>
              <w:rPr>
                <w:rStyle w:val="888"/>
              </w:rPr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1.3 Обоснование выбора инструментальных средств</w:t>
            </w:r>
            <w:r>
              <w:rPr>
                <w:rStyle w:val="888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7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b w:val="0"/>
              <w:bCs w:val="0"/>
              <w:sz w:val="28"/>
              <w:szCs w:val="28"/>
              <w14:ligatures w14:val="none"/>
            </w:rPr>
          </w:pPr>
          <w:hyperlink w:tooltip="#_Toc14" w:anchor="_Toc14" w:history="1">
            <w:r>
              <w:rPr>
                <w:rStyle w:val="888"/>
              </w:rPr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</w:rPr>
              <w:t xml:space="preserve">ЗАКЛЮЧЕНИЕ</w:t>
            </w:r>
            <w:r>
              <w:rPr>
                <w:rStyle w:val="888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13</w:t>
              <w:fldChar w:fldCharType="end"/>
            </w:r>
          </w:hyperlink>
          <w:r>
            <w:rPr>
              <w:b w:val="0"/>
              <w:bCs w:val="0"/>
              <w:sz w:val="28"/>
              <w:szCs w:val="28"/>
              <w14:ligatures w14:val="none"/>
            </w:rPr>
          </w:r>
          <w:r>
            <w:rPr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87"/>
            <w:suppressLineNumbers w:val="false"/>
            <w:pBdr/>
            <w:tabs>
              <w:tab w:val="right" w:leader="dot" w:pos="9912"/>
            </w:tabs>
            <w:spacing w:after="0" w:afterAutospacing="0" w:line="360" w:lineRule="auto"/>
            <w:ind w:firstLine="709"/>
            <w:jc w:val="both"/>
            <w:rPr>
              <w:rFonts w:ascii="Times New Roman" w:hAnsi="Times New Roman"/>
            </w:rPr>
          </w:pPr>
          <w:hyperlink w:tooltip="#_Toc15" w:anchor="_Toc15" w:history="1">
            <w:r>
              <w:rPr>
                <w:rStyle w:val="888"/>
              </w:rPr>
            </w:r>
            <w:r>
              <w:rPr>
                <w:rStyle w:val="888"/>
                <w:rFonts w:ascii="Times New Roman" w:hAnsi="Times New Roman"/>
                <w:b w:val="0"/>
                <w:bCs w:val="0"/>
                <w:sz w:val="28"/>
                <w:szCs w:val="28"/>
                <w:lang w:val="ru-RU"/>
              </w:rPr>
              <w:t xml:space="preserve">СПИСОК ИСПОЛЬЗОВАННЫХ ИСТОЧНИКОВ</w:t>
            </w:r>
            <w:r>
              <w:rPr>
                <w:rStyle w:val="888"/>
                <w:rFonts w:ascii="Times New Roman" w:hAnsi="Times New Roman"/>
                <w:b/>
                <w:bCs/>
                <w:lang w:val="ru-RU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/>
              <w:lang w:val="ru-RU"/>
            </w:rPr>
          </w:r>
        </w:p>
        <w:p>
          <w:pPr>
            <w:suppressLineNumbers w:val="false"/>
            <w:pBdr/>
            <w:spacing w:after="0" w:afterAutospacing="0" w:line="360" w:lineRule="auto"/>
            <w:ind w:firstLine="709"/>
            <w:jc w:val="both"/>
            <w:rPr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/>
          <w:r/>
        </w:p>
      </w:sdtContent>
    </w:sdt>
    <w:p>
      <w:pPr>
        <w:pStyle w:val="706"/>
        <w:pBdr/>
        <w:spacing w:line="360" w:lineRule="auto"/>
        <w:ind/>
        <w:rPr>
          <w:szCs w:val="28"/>
          <w:lang w:val="ru-RU"/>
        </w:rPr>
      </w:pPr>
      <w:r/>
      <w:bookmarkStart w:id="12" w:name="_Toc9"/>
      <w:r>
        <w:rPr>
          <w:szCs w:val="28"/>
          <w:lang w:val="ru-RU"/>
        </w:rPr>
        <w:br w:type="page" w:clear="all"/>
      </w:r>
      <w:r>
        <w:rPr>
          <w:szCs w:val="28"/>
          <w:lang w:val="ru-RU"/>
        </w:rPr>
        <w:t xml:space="preserve">ВВЕДЕНИЕ</w:t>
      </w:r>
      <w:r/>
      <w:bookmarkEnd w:id="12"/>
      <w:r/>
      <w:r>
        <w:rPr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современном мире </w:t>
      </w:r>
      <w:r>
        <w:rPr>
          <w:sz w:val="28"/>
          <w:szCs w:val="28"/>
          <w:lang w:val="ru-RU"/>
        </w:rPr>
        <w:t xml:space="preserve">наблюдается рост тенденций на внедрение</w:t>
      </w:r>
      <w:r>
        <w:rPr>
          <w:sz w:val="28"/>
          <w:szCs w:val="28"/>
          <w:lang w:val="ru-RU"/>
        </w:rPr>
        <w:t xml:space="preserve"> блокчейн технологий </w:t>
      </w:r>
      <w:r>
        <w:rPr>
          <w:sz w:val="28"/>
          <w:szCs w:val="28"/>
          <w:lang w:val="ru-RU"/>
        </w:rPr>
        <w:t xml:space="preserve">в различных отраслях, в том числе и в экономической сфере. Это связано с тем, что данные технологии позволяют</w:t>
      </w:r>
      <w:r>
        <w:rPr>
          <w:sz w:val="28"/>
          <w:szCs w:val="28"/>
          <w:lang w:val="ru-RU"/>
        </w:rPr>
        <w:t xml:space="preserve"> не только упростить и увеличить эффективность финансовых операций, но и</w:t>
      </w:r>
      <w:r>
        <w:rPr>
          <w:sz w:val="28"/>
          <w:szCs w:val="28"/>
          <w:lang w:val="ru-RU"/>
        </w:rPr>
        <w:t xml:space="preserve"> обеспечить </w:t>
      </w:r>
      <w:r>
        <w:rPr>
          <w:sz w:val="28"/>
          <w:szCs w:val="28"/>
          <w:lang w:val="ru-RU"/>
        </w:rPr>
        <w:t xml:space="preserve">безопасность и</w:t>
      </w:r>
      <w:r>
        <w:rPr>
          <w:sz w:val="28"/>
          <w:szCs w:val="28"/>
          <w:lang w:val="ru-RU"/>
        </w:rPr>
        <w:t xml:space="preserve"> прозрачность</w:t>
      </w:r>
      <w:r>
        <w:rPr>
          <w:sz w:val="28"/>
          <w:szCs w:val="28"/>
          <w:lang w:val="ru-RU"/>
        </w:rPr>
        <w:t xml:space="preserve"> транзакций</w:t>
      </w:r>
      <w:r>
        <w:rPr>
          <w:sz w:val="28"/>
          <w:szCs w:val="28"/>
          <w:lang w:val="ru-RU"/>
        </w:rPr>
        <w:t xml:space="preserve">, что является </w:t>
      </w:r>
      <w:r>
        <w:rPr>
          <w:sz w:val="28"/>
          <w:szCs w:val="28"/>
          <w:lang w:val="ru-RU"/>
        </w:rPr>
        <w:t xml:space="preserve">неотъемлемым аспектом</w:t>
      </w:r>
      <w:r>
        <w:rPr>
          <w:sz w:val="28"/>
          <w:szCs w:val="28"/>
          <w:lang w:val="ru-RU"/>
        </w:rPr>
        <w:t xml:space="preserve"> при проведении </w:t>
      </w:r>
      <w:r>
        <w:rPr>
          <w:sz w:val="28"/>
          <w:szCs w:val="28"/>
          <w:lang w:val="ru-RU"/>
        </w:rPr>
        <w:t xml:space="preserve">операций, связанных с денежными средствами.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использовании приложений для электронных платежей остро стоит проблема о конфиденциальности данных, об их секретности. Большинство таких </w:t>
      </w:r>
      <w:r>
        <w:rPr>
          <w:sz w:val="28"/>
          <w:szCs w:val="28"/>
          <w:lang w:val="ru-RU"/>
        </w:rPr>
        <w:t xml:space="preserve">систем</w:t>
      </w:r>
      <w:r>
        <w:rPr>
          <w:sz w:val="28"/>
          <w:szCs w:val="28"/>
          <w:lang w:val="ru-RU"/>
        </w:rPr>
        <w:t xml:space="preserve"> включают в себя сервисы для аутентификации, невозможности отрицания авторства. Такие возможности могу быть реализованы при помощи простых криптографических протоколов, например, </w:t>
      </w:r>
      <w:r>
        <w:rPr>
          <w:sz w:val="28"/>
          <w:szCs w:val="28"/>
        </w:rPr>
        <w:t xml:space="preserve">TLS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Transport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Layer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Security</w:t>
      </w:r>
      <w:r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 xml:space="preserve">П</w:t>
      </w:r>
      <w:r>
        <w:rPr>
          <w:sz w:val="28"/>
          <w:szCs w:val="28"/>
          <w:lang w:val="ru-RU"/>
        </w:rPr>
        <w:t xml:space="preserve">ротокол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TLS</w:t>
      </w:r>
      <w:r>
        <w:rPr>
          <w:sz w:val="28"/>
          <w:szCs w:val="28"/>
          <w:lang w:val="ru-RU"/>
        </w:rPr>
        <w:t xml:space="preserve"> – это протокол шифрования и аутентификации, он</w:t>
      </w:r>
      <w:r>
        <w:rPr>
          <w:sz w:val="28"/>
          <w:szCs w:val="28"/>
          <w:lang w:val="ru-RU"/>
        </w:rPr>
        <w:t xml:space="preserve"> работает на</w:t>
      </w:r>
      <w:r>
        <w:rPr>
          <w:sz w:val="28"/>
          <w:szCs w:val="28"/>
          <w:lang w:val="ru-RU"/>
        </w:rPr>
        <w:t xml:space="preserve"> транспортном</w:t>
      </w:r>
      <w:r>
        <w:rPr>
          <w:sz w:val="28"/>
          <w:szCs w:val="28"/>
          <w:lang w:val="ru-RU"/>
        </w:rPr>
        <w:t xml:space="preserve"> уровне сетевой модели OSI, где отвечает за создание безопасных сессий обмена данными между браузером и сервером.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Однако существуют такие операции, которые невозможно защитить при помощи простых протоколов шифрования, вроде </w:t>
      </w:r>
      <w:r>
        <w:rPr>
          <w:sz w:val="28"/>
          <w:szCs w:val="28"/>
        </w:rPr>
        <w:t xml:space="preserve">TSL</w:t>
      </w:r>
      <w:r>
        <w:rPr>
          <w:sz w:val="28"/>
          <w:szCs w:val="28"/>
          <w:lang w:val="ru-RU"/>
        </w:rPr>
        <w:t xml:space="preserve">. К таким оп</w:t>
      </w:r>
      <w:r>
        <w:rPr>
          <w:sz w:val="28"/>
          <w:szCs w:val="28"/>
          <w:lang w:val="ru-RU"/>
        </w:rPr>
        <w:t xml:space="preserve">ерациям можно отнести электронные платежи, при проведении которых сохранение конфиденциальности является неотъемлемой частью, ведь при несоответствии приложения стандартам безопасности возникают риски утечки личных и финансовых данных пользователей. Также </w:t>
      </w:r>
      <w:r>
        <w:rPr>
          <w:sz w:val="28"/>
          <w:szCs w:val="28"/>
          <w:lang w:val="ru-RU"/>
        </w:rPr>
        <w:t xml:space="preserve">участники</w:t>
      </w:r>
      <w:r>
        <w:rPr>
          <w:sz w:val="28"/>
          <w:szCs w:val="28"/>
          <w:lang w:val="ru-RU"/>
        </w:rPr>
        <w:t xml:space="preserve"> таких систем могут стать жертвой мошенн</w:t>
      </w:r>
      <w:r>
        <w:rPr>
          <w:sz w:val="28"/>
          <w:szCs w:val="28"/>
          <w:lang w:val="ru-RU"/>
        </w:rPr>
        <w:t xml:space="preserve">ичества, </w:t>
      </w:r>
      <w:r>
        <w:rPr>
          <w:sz w:val="28"/>
          <w:szCs w:val="28"/>
          <w:lang w:val="ru-RU"/>
        </w:rPr>
        <w:t xml:space="preserve">поскольку простые протоколы шифрования могут иметь уязвимости, из-за которых становится возможным получить доступ к персональным данным пользователей.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Более тонкие операции, такие как проведение электронных платежей</w:t>
      </w:r>
      <w:r>
        <w:rPr>
          <w:sz w:val="28"/>
          <w:szCs w:val="28"/>
          <w:lang w:val="ru-RU"/>
        </w:rPr>
        <w:t xml:space="preserve">,</w:t>
      </w:r>
      <w:r>
        <w:rPr>
          <w:sz w:val="28"/>
          <w:szCs w:val="28"/>
          <w:lang w:val="ru-RU"/>
        </w:rPr>
        <w:t xml:space="preserve"> требуют внедрения более сложных криптографических алгоритмов, чтобы избежать возможности утечки пользовательских данных.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связи с этим, актуальным является задача разработки системы перевода средств между электронными кошельками на основе алгоритмов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доказательства с </w:t>
      </w:r>
      <w:r>
        <w:rPr>
          <w:sz w:val="28"/>
          <w:szCs w:val="28"/>
          <w:lang w:val="ru-RU"/>
        </w:rPr>
        <w:t xml:space="preserve">нулевым разглашением (</w:t>
      </w:r>
      <w:r>
        <w:rPr>
          <w:sz w:val="28"/>
          <w:szCs w:val="28"/>
        </w:rPr>
        <w:t xml:space="preserve">Zero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Knowledge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Proof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, что и является целью данной курсовой работы. </w:t>
      </w:r>
      <w:r>
        <w:rPr>
          <w:sz w:val="28"/>
          <w:szCs w:val="28"/>
          <w:lang w:val="ru-RU"/>
        </w:rPr>
        <w:t xml:space="preserve">Доказательство с нулевым разглашением (ZKP) представляет собой криптографический протокол, который позволяет одной стороне (доказывающему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prover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P</w:t>
      </w:r>
      <w:r>
        <w:rPr>
          <w:sz w:val="28"/>
          <w:szCs w:val="28"/>
          <w:lang w:val="ru-RU"/>
        </w:rPr>
        <w:t xml:space="preserve">) убедить другую сторону (проверяющего</w:t>
      </w:r>
      <w:r>
        <w:rPr>
          <w:sz w:val="28"/>
          <w:szCs w:val="28"/>
          <w:lang w:val="ru-RU"/>
        </w:rPr>
        <w:t xml:space="preserve">, verifier, V</w:t>
      </w:r>
      <w:r>
        <w:rPr>
          <w:sz w:val="28"/>
          <w:szCs w:val="28"/>
          <w:lang w:val="ru-RU"/>
        </w:rPr>
        <w:t xml:space="preserve">) в истинности какого-либо утверждения, не раскрывая при этом никакой информации, подтверждающей это утверждение. ZKP может быть интерактивным, когда доказывающий повторяет процесс доказательства для каждого проверяющего, а также </w:t>
      </w:r>
      <w:r>
        <w:rPr>
          <w:sz w:val="28"/>
          <w:szCs w:val="28"/>
          <w:lang w:val="ru-RU"/>
        </w:rPr>
        <w:t xml:space="preserve">не</w:t>
      </w:r>
      <w:r>
        <w:rPr>
          <w:sz w:val="28"/>
          <w:szCs w:val="28"/>
          <w:lang w:val="ru-RU"/>
        </w:rPr>
        <w:t xml:space="preserve">интерактивным, когда доказывающий создаёт доказательство, которым может воспользоваться каждый человек, использующий то же доказательство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множество вариантов реализации </w:t>
      </w:r>
      <w:r>
        <w:rPr>
          <w:sz w:val="28"/>
          <w:szCs w:val="28"/>
          <w:lang w:val="ru-RU"/>
        </w:rPr>
        <w:t xml:space="preserve">алгоритмов доказательства с нулевым разглашением, например, протокол парольной аутентификации </w:t>
      </w:r>
      <w:r>
        <w:rPr>
          <w:sz w:val="28"/>
          <w:szCs w:val="28"/>
        </w:rPr>
        <w:t xml:space="preserve">SRP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</w:t>
      </w:r>
      <w:r>
        <w:rPr>
          <w:sz w:val="28"/>
          <w:szCs w:val="28"/>
        </w:rPr>
        <w:t xml:space="preserve">Secure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Remote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Password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Protocol</w:t>
      </w:r>
      <w:r>
        <w:rPr>
          <w:sz w:val="28"/>
          <w:szCs w:val="28"/>
          <w:lang w:val="ru-RU"/>
        </w:rPr>
        <w:t xml:space="preserve">), или неинтерактивный криптографический протокол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SNARKs</w:t>
      </w:r>
      <w:r>
        <w:rPr>
          <w:sz w:val="28"/>
          <w:szCs w:val="28"/>
          <w:lang w:val="ru-RU"/>
        </w:rPr>
        <w:t xml:space="preserve">, но в данной курсовой работе будет использоваться набор </w:t>
      </w:r>
      <w:r>
        <w:rPr>
          <w:sz w:val="28"/>
          <w:szCs w:val="28"/>
          <w:lang w:val="ru-RU"/>
        </w:rPr>
        <w:t xml:space="preserve">криптографических</w:t>
      </w:r>
      <w:r>
        <w:rPr>
          <w:sz w:val="28"/>
          <w:szCs w:val="28"/>
          <w:lang w:val="ru-RU"/>
        </w:rPr>
        <w:t xml:space="preserve"> протоколов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 w:clear="all"/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706"/>
        <w:pBdr/>
        <w:spacing w:line="360" w:lineRule="auto"/>
        <w:ind w:firstLine="0" w:left="709"/>
        <w:rPr>
          <w:lang w:val="ru-RU"/>
        </w:rPr>
      </w:pPr>
      <w:r/>
      <w:bookmarkStart w:id="13" w:name="_Toc10"/>
      <w:r/>
      <w:bookmarkStart w:id="5" w:name="_Toc2"/>
      <w:r>
        <w:rPr>
          <w:lang w:val="ru-RU"/>
        </w:rPr>
        <w:t xml:space="preserve">1 СИСТЕМЫ ПЕРЕВОДА СРЕДСТВ МЕЖДУ ЭЛЕКТРОННЫМИ КОШЕЛЬКАМИ, СУЩЕСТВУЮЩИЕ СИСТЕМЫ ПЕРЕВОДА СРЕДСТВ МЕЖДУ ЭЛЕКТРОННЫМИ КОШЕЛЬКАМИ, ОСНОВАННЫЕ НА АЛГОРИТМАХ ZKP</w:t>
      </w:r>
      <w:r/>
      <w:bookmarkEnd w:id="13"/>
      <w:r/>
      <w:r>
        <w:rPr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707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4" w:name="_Toc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1.1 Система перевода средств между электронными кошельками и её общие характеристики</w:t>
      </w:r>
      <w:r/>
      <w:bookmarkEnd w:id="14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Предметная область настоящей курсовой работы – </w:t>
      </w:r>
      <w:r>
        <w:rPr>
          <w:sz w:val="28"/>
          <w:szCs w:val="28"/>
          <w:lang w:val="ru-RU"/>
        </w:rPr>
        <w:t xml:space="preserve">Система перевода средств между электронными кошельками на основе алгоритмов ZKP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целью данной области является обеспечение приватности и безопасности проводимых финансовых транзакций, путём внедрения в систему сложных криптографических протоколов, а именно алгоритмов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Одной из задач криптографии является двустороння</w:t>
      </w:r>
      <w:r>
        <w:rPr>
          <w:sz w:val="28"/>
          <w:szCs w:val="28"/>
          <w:lang w:val="ru-RU"/>
        </w:rPr>
        <w:t xml:space="preserve">я</w:t>
      </w:r>
      <w:r>
        <w:rPr>
          <w:sz w:val="28"/>
          <w:szCs w:val="28"/>
          <w:lang w:val="ru-RU"/>
        </w:rPr>
        <w:t xml:space="preserve"> интерактивная игра, в которой доказывающая сторона доказывает истинность некоторого утверждения другой стороне, проверяющей, не раскрывая сущности доказательства.</w:t>
      </w:r>
      <w:r>
        <w:rPr>
          <w:sz w:val="28"/>
          <w:szCs w:val="28"/>
          <w:lang w:val="ru-RU"/>
        </w:rPr>
        <w:t xml:space="preserve"> Такая игра называется </w:t>
      </w:r>
      <w:r>
        <w:rPr>
          <w:sz w:val="28"/>
          <w:szCs w:val="28"/>
          <w:lang w:val="ru-RU"/>
        </w:rPr>
        <w:t xml:space="preserve">протоколом</w:t>
      </w:r>
      <w:r>
        <w:rPr>
          <w:sz w:val="28"/>
          <w:szCs w:val="28"/>
          <w:lang w:val="ru-RU"/>
        </w:rPr>
        <w:t xml:space="preserve"> интерактивного доказательства или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протоколом </w:t>
      </w:r>
      <w:r>
        <w:rPr>
          <w:sz w:val="28"/>
          <w:szCs w:val="28"/>
          <w:lang w:val="ru-RU"/>
        </w:rPr>
        <w:t xml:space="preserve">(</w:t>
      </w:r>
      <w:r>
        <w:rPr>
          <w:sz w:val="28"/>
          <w:szCs w:val="28"/>
        </w:rPr>
        <w:t xml:space="preserve">interactive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proof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). Доказательство, получаемое при помощи такого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протокола, является секретным, потому что, во-первых, провер</w:t>
      </w:r>
      <w:r>
        <w:rPr>
          <w:sz w:val="28"/>
          <w:szCs w:val="28"/>
          <w:lang w:val="ru-RU"/>
        </w:rPr>
        <w:t xml:space="preserve">яющая сторона, убедившись в истинности доказанного утверждения, не способна самостоятельно повторить доказательство, и, во-вторых, после завершения протокола никто извне не способен понять сообщения, которыми обменивались стороны в процессе доказательства.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Такая </w:t>
      </w:r>
      <w:r>
        <w:rPr>
          <w:sz w:val="28"/>
          <w:szCs w:val="28"/>
          <w:lang w:val="ru-RU"/>
        </w:rPr>
        <w:t xml:space="preserve">конфиденциальность</w:t>
      </w:r>
      <w:r>
        <w:rPr>
          <w:sz w:val="28"/>
          <w:szCs w:val="28"/>
          <w:lang w:val="ru-RU"/>
        </w:rPr>
        <w:t xml:space="preserve"> необходима во многих приложениях, в которых проводятся операции с использованием персональных данных, раскрытие которых может привести </w:t>
      </w:r>
      <w:r>
        <w:rPr>
          <w:sz w:val="28"/>
          <w:szCs w:val="28"/>
          <w:lang w:val="ru-RU"/>
        </w:rPr>
        <w:t xml:space="preserve">к фальсификации, подделыванию</w:t>
      </w:r>
      <w:r>
        <w:rPr>
          <w:sz w:val="28"/>
          <w:szCs w:val="28"/>
          <w:lang w:val="ru-RU"/>
        </w:rPr>
        <w:t xml:space="preserve"> или краже личных данных. Напри</w:t>
      </w:r>
      <w:r>
        <w:rPr>
          <w:sz w:val="28"/>
          <w:szCs w:val="28"/>
          <w:lang w:val="ru-RU"/>
        </w:rPr>
        <w:t xml:space="preserve">мер, при проведении голосований необходимо сохранять анонимность голосующих, чтобы предотвратить возможное принуждение или подтасовывание результатов, или при проведении электронных платежей, в процессе которых используются финансовые данные пользователей.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Доказательство с нулевым разглашением должно </w:t>
      </w:r>
      <w:r>
        <w:rPr>
          <w:sz w:val="28"/>
          <w:szCs w:val="28"/>
          <w:lang w:val="ru-RU"/>
        </w:rPr>
        <w:t xml:space="preserve">обладать следующими свойствами: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Полнота: при корректном утверждении и при соблюдении обеими сторонами принципов протокола, проверяющий может однозначно убедиться в корректности и истинности утверждения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чивость: при ложном утверждении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проверяющая сторона должна иметь возможность убедиться в ложности утверждения;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Нулевое разглаше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ние: при истинности утверждения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проверяющая сторона не сможет узнать ничего, кроме того факта, что утверждение верно. Другими словами, простого знания утверждения (а не секрета) достаточно, чтобы убедиться в том, что доказывающий знает этот секрет.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относится</w:t>
      </w:r>
      <w:r>
        <w:rPr>
          <w:sz w:val="28"/>
          <w:szCs w:val="28"/>
          <w:lang w:val="ru-RU"/>
        </w:rPr>
        <w:t xml:space="preserve"> к «вероятностным доказательства</w:t>
      </w:r>
      <w:r>
        <w:rPr>
          <w:sz w:val="28"/>
          <w:szCs w:val="28"/>
          <w:lang w:val="ru-RU"/>
        </w:rPr>
        <w:t xml:space="preserve">м». Это класс криптографических протоколов, в которых проверяющая сторона может сделать вывод о справедливости утверждения лишь с некоторой вероятнос</w:t>
      </w:r>
      <w:bookmarkStart w:id="3" w:name="_GoBack"/>
      <w:r/>
      <w:bookmarkEnd w:id="3"/>
      <w:r>
        <w:rPr>
          <w:sz w:val="28"/>
          <w:szCs w:val="28"/>
          <w:lang w:val="ru-RU"/>
        </w:rPr>
        <w:t xml:space="preserve">тью.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Протоколы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можно разделить на интерактивные</w:t>
      </w:r>
      <w:r>
        <w:rPr>
          <w:sz w:val="28"/>
          <w:szCs w:val="28"/>
          <w:lang w:val="ru-RU"/>
        </w:rPr>
        <w:t xml:space="preserve"> и неинтерактивные. В интерактивных протоколах стороны должны быть постоянно «на связи» и обмениваться сообщения</w:t>
      </w:r>
      <w:r>
        <w:rPr>
          <w:sz w:val="28"/>
          <w:szCs w:val="28"/>
          <w:lang w:val="ru-RU"/>
        </w:rPr>
        <w:t xml:space="preserve">ми</w:t>
      </w:r>
      <w:r>
        <w:rPr>
          <w:sz w:val="28"/>
          <w:szCs w:val="28"/>
          <w:lang w:val="ru-RU"/>
        </w:rPr>
        <w:t xml:space="preserve"> (это называется раунды взаимодействия). А в неинтерактивных протоколах взаимодействие между участвующими сторонами сводится к одному раунду, пересылке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доказательства от доказывающего к проверяющему.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интерактивных протоколов в распределенных реестрах ограничено необходимостью постоянного </w:t>
      </w:r>
      <w:r>
        <w:rPr>
          <w:sz w:val="28"/>
          <w:szCs w:val="28"/>
          <w:lang w:val="ru-RU"/>
        </w:rPr>
        <w:t xml:space="preserve">обмена сообщениями между доказывающим и проверяющим</w:t>
      </w:r>
      <w:r>
        <w:rPr>
          <w:sz w:val="28"/>
          <w:szCs w:val="28"/>
          <w:lang w:val="ru-RU"/>
        </w:rPr>
        <w:t xml:space="preserve"> для проведения множества раундов взаимодействия. На практике такие протоколы не изучаются и не применяются в распределенных реестрах.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отличие от них, неинтерактивные протоколы лучше подходят для распределенных реестров, так как требуют лишь одного раунда взаимодействия: отправки доказательства и ответа при его проверке.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Распределенные реестры характеризуются открытым хранением данных, при этом информация о транзакциях не скрывается. Однако нельзя скрыть отдельные транзакции, данные о них или некоторые поля транзакции.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рисунках 1.1 и 1.2 представлены алгоритмы работы интерактивного и неинтерактивного протоколов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04383" cy="2438400"/>
                <wp:effectExtent l="0" t="0" r="127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02050" cy="2485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1.92pt;height:192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1.1 – Алгоритм работы интерактивного протокола доказательства с нулевым разглашением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8677" cy="21050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77579" cy="210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6.98pt;height:16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1.2 – Алгоритм работы неинтерактивного протокола доказательства с нулевым разглашением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707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5" w:name="_Toc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 Обзор существующих аналогов</w:t>
      </w:r>
      <w:r/>
      <w:bookmarkEnd w:id="15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Алгоритмы доказательства с нулевым разглашением находят практическое применение в различных областях, таких как блокчейн, криптовалюты и децентрализованные финансы (</w:t>
      </w:r>
      <w:r>
        <w:rPr>
          <w:sz w:val="28"/>
          <w:szCs w:val="28"/>
        </w:rPr>
        <w:t xml:space="preserve">DeFi</w:t>
      </w:r>
      <w:r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позволяет проверять информацию без её раскрытия, что повышает конфиденциальность и безопасность. Многие проекты </w:t>
      </w:r>
      <w:r>
        <w:rPr>
          <w:sz w:val="28"/>
          <w:szCs w:val="28"/>
        </w:rPr>
        <w:t xml:space="preserve">DeFi</w:t>
      </w:r>
      <w:r>
        <w:rPr>
          <w:sz w:val="28"/>
          <w:szCs w:val="28"/>
          <w:lang w:val="ru-RU"/>
        </w:rPr>
        <w:t xml:space="preserve"> уже используют технологию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для обеспечения большей конфиденциальности </w:t>
      </w:r>
      <w:r>
        <w:rPr>
          <w:sz w:val="28"/>
          <w:szCs w:val="28"/>
          <w:lang w:val="ru-RU"/>
        </w:rPr>
        <w:t xml:space="preserve">в сферах кредитования, займов или торговли. Некоторые блокчейны также внедряют роллапы на основе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zkEVM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Zero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Knowledge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Ethereum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Virtual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Machine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анализа </w:t>
      </w:r>
      <w:r>
        <w:rPr>
          <w:sz w:val="28"/>
          <w:szCs w:val="28"/>
          <w:lang w:val="ru-RU"/>
        </w:rPr>
        <w:t xml:space="preserve">были выбраны</w:t>
      </w:r>
      <w:r>
        <w:rPr>
          <w:sz w:val="28"/>
          <w:szCs w:val="28"/>
          <w:lang w:val="ru-RU"/>
        </w:rPr>
        <w:t xml:space="preserve"> только</w:t>
      </w:r>
      <w:r>
        <w:rPr>
          <w:sz w:val="28"/>
          <w:szCs w:val="28"/>
          <w:lang w:val="ru-RU"/>
        </w:rPr>
        <w:t xml:space="preserve"> некоторые из существующих решений, а именно: криптовалюта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, криптовалюта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1.2.1 </w:t>
      </w:r>
      <w:r>
        <w:rPr>
          <w:b/>
          <w:sz w:val="28"/>
          <w:szCs w:val="28"/>
          <w:lang w:val="ru-RU"/>
        </w:rPr>
        <w:t xml:space="preserve">Криптовалюта </w:t>
      </w:r>
      <w:r>
        <w:rPr>
          <w:b/>
          <w:sz w:val="28"/>
          <w:szCs w:val="28"/>
        </w:rPr>
        <w:t xml:space="preserve">Monero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официальные тикер – </w:t>
      </w:r>
      <w:r>
        <w:rPr>
          <w:sz w:val="28"/>
          <w:szCs w:val="28"/>
        </w:rPr>
        <w:t xml:space="preserve">XMR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 – это криптографическая валюта, которая была создана на базе блокчейна </w:t>
      </w:r>
      <w:r>
        <w:rPr>
          <w:sz w:val="28"/>
          <w:szCs w:val="28"/>
        </w:rPr>
        <w:t xml:space="preserve">ByteCoin</w:t>
      </w:r>
      <w:r>
        <w:rPr>
          <w:sz w:val="28"/>
          <w:szCs w:val="28"/>
          <w:lang w:val="ru-RU"/>
        </w:rPr>
        <w:t xml:space="preserve">, в 2014 году. В основе данной криптовалюты лежит протокол </w:t>
      </w: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  <w:t xml:space="preserve">, обеспечивающий высокий уровень анонимности каждой транзакции.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Большинство существующих криптовалют, таких как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Ethereum</w:t>
      </w:r>
      <w:r>
        <w:rPr>
          <w:sz w:val="28"/>
          <w:szCs w:val="28"/>
          <w:lang w:val="ru-RU"/>
        </w:rPr>
        <w:t xml:space="preserve">, имеют прозрачные блокчейны, что означает, что транзакции в них прозрачны и отслеживаемы, также адреса отправителя и получателя могут быть связаны с реальной личностью человека.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 криптографию для защиты адресов пользователей, а также для самих транзакций.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Каждая транзакция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по умолчанию «запутывает» адрес отправки и получения, а также суммы транзакции. Такая конфиденциальность означает, что деятельность каждого пользователя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повышает конфиденциальность всех других пользователей сети, в отличие от выборочно прозрачных криптовалют, как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сочетании с обфускацией («запутыванием») транзакций приводят к «пассивному смешиванию», когда все транзакции в сети анонимны и в случае необходимости каждый участник сможет прим</w:t>
      </w:r>
      <w:r>
        <w:rPr>
          <w:sz w:val="28"/>
          <w:szCs w:val="28"/>
          <w:lang w:val="ru-RU"/>
        </w:rPr>
        <w:t xml:space="preserve">енить правдоподобное отрицание.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рисунке 1.3 представлен принцип шифрования транзакции по протоколу </w:t>
      </w: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0741" cy="2707228"/>
                <wp:effectExtent l="0" t="0" r="0" b="0"/>
                <wp:docPr id="3" name="Рисунок 3" descr="cryptonote monero blockch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yptonote monero blockchai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99594" cy="2716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7.30pt;height:213.17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1.3 – Принцип работы протокола </w:t>
      </w: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выделить следующие недостатки данной криптовалюты: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Monero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 раз подвергалась критике за сво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 анонимность, поскольку власти считают, что это способствует распространению нелегальной информации и товаров. Однако анонимность в сети не является абсолютной, и существуют уязвимости, которые могут быть использованы для нарушения приватности транзакций;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Транзакции в сети являются довольно тяжеловесными, 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объём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8 раз больше чем транзакции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Bitcoin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отражается на скорости выполнения транзакций;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в 2018 году была обнаружена уязвимость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благодаря которой было возможным «сжигать» депозит, выраженный в криптовалюте, но эта проблема была устранена после выпуска патча с названием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Devs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1.2.2 Криптовалюта ZCash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(официальный тикер – </w:t>
      </w:r>
      <w:r>
        <w:rPr>
          <w:sz w:val="28"/>
          <w:szCs w:val="28"/>
        </w:rPr>
        <w:t xml:space="preserve">ZEC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криптовалюта, ориентированная на конфиденциальность которая является форком (</w:t>
      </w:r>
      <w:r>
        <w:rPr>
          <w:sz w:val="28"/>
          <w:szCs w:val="28"/>
        </w:rPr>
        <w:t xml:space="preserve">fork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Форк (</w:t>
      </w:r>
      <w:r>
        <w:rPr>
          <w:sz w:val="28"/>
          <w:szCs w:val="28"/>
        </w:rPr>
        <w:t xml:space="preserve">fork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копирование исходного кода с внесением в него изменений.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особенностью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настраиваемость прозрачности транзакций. В данной сети пользователи сами могут выбирать либо защищённые (частные), либо прозрачные (публичные) детали транзакции.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основе функции конфиденциальности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лежат алгоритмы доказательств с нулевым разглашением.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представил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SNARK</w:t>
      </w:r>
      <w:r>
        <w:rPr>
          <w:sz w:val="28"/>
          <w:szCs w:val="28"/>
          <w:lang w:val="ru-RU"/>
        </w:rPr>
        <w:t xml:space="preserve">, набор инструментов с нулевым кратким неинтерактивным аргументом знаний, при помощи которого обеспечивается шифрование транзакций в блокчейне, при этом проверяя их легитимность посредством сетевого консенсуса.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 два типа адресов кошельков: </w:t>
      </w:r>
      <w:r>
        <w:rPr>
          <w:sz w:val="28"/>
          <w:szCs w:val="28"/>
        </w:rPr>
        <w:t xml:space="preserve">z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адреса (частные) и </w:t>
      </w:r>
      <w:r>
        <w:rPr>
          <w:sz w:val="28"/>
          <w:szCs w:val="28"/>
        </w:rPr>
        <w:t xml:space="preserve">t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адреса (прозрачные). В зависимости от адресов, используемых отправителем и получателем, существуют 4 типа транзакций: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Частные транзакции: обе стороны используют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 кошельков, сохраняя детали и суммы транзакций анонимными;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Публичные транзакции: обе стороны используют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 кошельков, благодаря чему все детали транзакции прозрачны;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Деэкранирующие транзакции: отправитель использует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а получатель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в результате чего раскрываются данные о получателе и сумме транзакции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5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Экранирующие транзакции: отправитель использует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а получатель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в этом случае общедоступными становятся данные отправителя, а также сумма транзакции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1.4 представлен процесс проведения транзакции в сети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76713" cy="1765699"/>
                <wp:effectExtent l="6350" t="6350" r="6350" b="6350"/>
                <wp:docPr id="4" name="Рисунок 4" descr="A high-level skeleton diagram of a Zcash trans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high-level skeleton diagram of a Zcash transactio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10047" r="0" b="2040"/>
                        <a:stretch/>
                      </pic:blipFill>
                      <pic:spPr bwMode="auto">
                        <a:xfrm flipH="0" flipV="0">
                          <a:off x="0" y="0"/>
                          <a:ext cx="2776713" cy="1765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8.64pt;height:139.03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1.4 – Принцип проведения транзакции в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 недостаткам данной криптовалюты можно отнести низкую скорость проведения транзакций, из-за множества сложных математических вычислений, а также то, что официально поддерживается только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операционной системе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707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6" w:name="_Toc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1.3 Обоснование выбора инструментальных средств</w:t>
      </w:r>
      <w:r/>
      <w:bookmarkEnd w:id="16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Реализацию системы перевода средств между электронными кошельками на основе алгоритмов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было решено</w:t>
      </w:r>
      <w:r>
        <w:rPr>
          <w:sz w:val="28"/>
          <w:szCs w:val="28"/>
          <w:lang w:val="ru-RU"/>
        </w:rPr>
        <w:t xml:space="preserve"> проводить с использованием 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 xml:space="preserve">Identity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Mixer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– это блокчейн-платформа, написанная на языке программирования </w:t>
      </w:r>
      <w:r>
        <w:rPr>
          <w:sz w:val="28"/>
          <w:szCs w:val="28"/>
        </w:rPr>
        <w:t xml:space="preserve">G</w:t>
      </w:r>
      <w:r>
        <w:rPr>
          <w:sz w:val="28"/>
          <w:szCs w:val="28"/>
        </w:rPr>
        <w:t xml:space="preserve">o</w:t>
      </w:r>
      <w:r>
        <w:rPr>
          <w:sz w:val="28"/>
          <w:szCs w:val="28"/>
          <w:lang w:val="ru-RU"/>
        </w:rPr>
        <w:t xml:space="preserve"> с открытым исходным кодом от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Foundation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её помощью можно создавать блокчейн-приложения и управлять доступом и разрешениями для данных в цепочке блоков.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Также, как и другие блокчейн-технологии он использует реестр, смартконтракты и систему, с помощью которых участники управляют своими транзакциями.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Основное отличие </w:t>
      </w:r>
      <w:r>
        <w:rPr>
          <w:sz w:val="28"/>
          <w:szCs w:val="28"/>
        </w:rPr>
        <w:t xml:space="preserve">HLF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 от других блокчейн-систем заключается в том, что он является «закрытым и контролируемым». В отличие от открытых систем, позволяющих неидентифицированным пользователям участвовать в работе сети (например, механизм консенсуса </w:t>
      </w:r>
      <w:r>
        <w:rPr>
          <w:sz w:val="28"/>
          <w:szCs w:val="28"/>
        </w:rPr>
        <w:t xml:space="preserve">PoW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), участники блокчейнов 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обязаны проходить регистрацию с получением сертификатов.</w:t>
      </w:r>
      <w:r>
        <w:rPr>
          <w:sz w:val="28"/>
          <w:szCs w:val="28"/>
          <w:lang w:val="ru-RU"/>
        </w:rPr>
        <w:t xml:space="preserve"> В дальнейшем, уровень доступа к отдельным структурам блокчейна может быть настроен с помощью анализа идентификаторов, например, отдельные группы участников могут создавать каналы, которые будут являться отдельным регистром транзакций, доступным только им.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Реестр Hyperledger Fabric имеет состоящую из двух компонент подсистему: world state (состояние мира) и transaction log (журнал транзакций). Каждый участник имеет копию реестра каждой сети Hyperledger Fabric, в которой он состоит.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Компонент world state описывает состояние реестра в определенный момент времени. Это база данных реестра. Компонент transaction log записывает все транзакции, которые привели к текущему world state; это обновленная история для </w:t>
      </w:r>
      <w:r>
        <w:rPr>
          <w:sz w:val="28"/>
          <w:szCs w:val="28"/>
          <w:lang w:val="ru-RU"/>
        </w:rPr>
        <w:t xml:space="preserve">world state. В реестре, тогда, это комбинация базы данных world state и истории transaction log.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Реестр имеет сменное хранилище</w:t>
      </w:r>
      <w:r>
        <w:rPr>
          <w:sz w:val="28"/>
          <w:szCs w:val="28"/>
          <w:lang w:val="ru-RU"/>
        </w:rPr>
        <w:t xml:space="preserve"> данных для world state. По умолчанию, это база LevelDB, работающая со структурами данных типа «ключ — значение». В сменном transaction log нет необходимости, он просто записывает значения «до» и «после» базы данных реестра при использовании блокчейн-сети.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смартконтракты Hyperledger Fabric написаны через чейнкоды и вызываются через внешнее приложение, когда ему требуется провзаимодействовать с реестром. В большинстве случаев, чейнкод взаимодействует</w:t>
      </w:r>
      <w:r>
        <w:rPr>
          <w:sz w:val="28"/>
          <w:szCs w:val="28"/>
          <w:lang w:val="ru-RU"/>
        </w:rPr>
        <w:t xml:space="preserve"> только с базой данных реестра –</w:t>
      </w:r>
      <w:r>
        <w:rPr>
          <w:sz w:val="28"/>
          <w:szCs w:val="28"/>
          <w:lang w:val="ru-RU"/>
        </w:rPr>
        <w:t xml:space="preserve"> компонентом world state (например, совершая поисковые запросы).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Чейнкод может быть написан на нескольких языках программирования. В настоящее время поддерживаются Go и Node.js.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Identity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Mixer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) – набор криптографических протоколов, обеспечивающих надежную аутентификацию вкупе с сохраняющими конфиденциальность свойс</w:t>
      </w:r>
      <w:r>
        <w:rPr>
          <w:sz w:val="28"/>
          <w:szCs w:val="28"/>
          <w:lang w:val="ru-RU"/>
        </w:rPr>
        <w:t xml:space="preserve">твами, такими как анонимность, возможность совершать транзакции без выдачи сторон транзакции, и несвязность (unlinkability), возможность совершить одной identity несколько транзакций, не выдав, что все эти транзакции были совершены одной и той же identity.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процессе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участвуют три актора: пользователь </w:t>
      </w:r>
      <w:r>
        <w:rPr>
          <w:sz w:val="28"/>
          <w:szCs w:val="28"/>
          <w:lang w:val="ru-RU"/>
        </w:rPr>
        <w:t xml:space="preserve">(</w:t>
      </w:r>
      <w:r>
        <w:rPr>
          <w:sz w:val="28"/>
          <w:szCs w:val="28"/>
        </w:rPr>
        <w:t xml:space="preserve">user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, издатель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issuer</w:t>
      </w:r>
      <w:r>
        <w:rPr>
          <w:sz w:val="28"/>
          <w:szCs w:val="28"/>
          <w:lang w:val="ru-RU"/>
        </w:rPr>
        <w:t xml:space="preserve">)</w:t>
      </w:r>
      <w:r>
        <w:rPr>
          <w:sz w:val="28"/>
          <w:szCs w:val="28"/>
          <w:lang w:val="ru-RU"/>
        </w:rPr>
        <w:t xml:space="preserve"> и верификатор (</w:t>
      </w:r>
      <w:r>
        <w:rPr>
          <w:sz w:val="28"/>
          <w:szCs w:val="28"/>
        </w:rPr>
        <w:t xml:space="preserve">verifier</w:t>
      </w:r>
      <w:r>
        <w:rPr>
          <w:sz w:val="28"/>
          <w:szCs w:val="28"/>
          <w:lang w:val="ru-RU"/>
        </w:rPr>
        <w:t xml:space="preserve">). На рисунке 1.5 представлен процесс взаимодействия акторов.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80207" cy="1988968"/>
                <wp:effectExtent l="6350" t="6350" r="6350" b="6350"/>
                <wp:docPr id="5" name="Рисунок 5" descr="_images/idemix-over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_images/idemix-overview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6954" t="13701" r="8629" b="8236"/>
                        <a:stretch/>
                      </pic:blipFill>
                      <pic:spPr bwMode="auto">
                        <a:xfrm flipH="0" flipV="0">
                          <a:off x="0" y="0"/>
                          <a:ext cx="3480206" cy="198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4.03pt;height:156.61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1.5 – Процесс взаимодействия акторов в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Издатель удостоверяет набор атрибутов пользователя - выпускает цифровой сертификат, далее именуемый «удостоверение» (credential).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Потом пользователь генерирует </w:t>
      </w:r>
      <w:r>
        <w:rPr>
          <w:sz w:val="28"/>
          <w:szCs w:val="28"/>
          <w:lang w:val="ru-RU"/>
        </w:rPr>
        <w:t xml:space="preserve">доказательство с нулевым разглашением, что он владеет удостоверением и также выборочно раскрывает атрибуты</w:t>
      </w:r>
      <w:r>
        <w:rPr>
          <w:sz w:val="28"/>
          <w:szCs w:val="28"/>
          <w:lang w:val="ru-RU"/>
        </w:rPr>
        <w:t xml:space="preserve"> по собственному желанию</w:t>
      </w:r>
      <w:r>
        <w:rPr>
          <w:sz w:val="28"/>
          <w:szCs w:val="28"/>
          <w:lang w:val="ru-RU"/>
        </w:rPr>
        <w:t xml:space="preserve">. Так как доказательство ничего не разглашает, оно не раскрывает никакой другой информации про верификатора, издателя или кого-либо еще.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706"/>
        <w:pBdr/>
        <w:spacing w:line="360" w:lineRule="auto"/>
        <w:ind/>
        <w:rPr>
          <w:lang w:val="ru-RU"/>
          <w14:ligatures w14:val="none"/>
        </w:rPr>
      </w:pPr>
      <w:r/>
      <w:bookmarkStart w:id="17" w:name="_Toc14"/>
      <w:r/>
      <w:bookmarkStart w:id="11" w:name="_Toc8"/>
      <w:r>
        <w:rPr>
          <w:lang w:val="ru-RU"/>
        </w:rPr>
        <w:t xml:space="preserve">ЗАКЛЮЧЕНИЕ</w:t>
      </w:r>
      <w:bookmarkEnd w:id="17"/>
      <w:r/>
      <w:r>
        <w:rPr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разделе был проведён анализ с</w:t>
      </w:r>
      <w:r>
        <w:rPr>
          <w:sz w:val="28"/>
          <w:szCs w:val="28"/>
          <w:lang w:val="ru-RU"/>
        </w:rPr>
        <w:t xml:space="preserve">истем</w:t>
      </w:r>
      <w:r>
        <w:rPr>
          <w:sz w:val="28"/>
          <w:szCs w:val="28"/>
          <w:lang w:val="ru-RU"/>
        </w:rPr>
        <w:t xml:space="preserve">ы</w:t>
      </w:r>
      <w:r>
        <w:rPr>
          <w:sz w:val="28"/>
          <w:szCs w:val="28"/>
          <w:lang w:val="ru-RU"/>
        </w:rPr>
        <w:t xml:space="preserve"> перевода средств между электронными кошельками на основе алгоритмов ZKP</w:t>
      </w:r>
      <w:r>
        <w:rPr>
          <w:sz w:val="28"/>
          <w:szCs w:val="28"/>
          <w:lang w:val="ru-RU"/>
        </w:rPr>
        <w:t xml:space="preserve">. Были рассмотрены принципы</w:t>
      </w:r>
      <w:r>
        <w:rPr>
          <w:sz w:val="28"/>
          <w:szCs w:val="28"/>
          <w:lang w:val="ru-RU"/>
        </w:rPr>
        <w:t xml:space="preserve"> работы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протоколов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Было выяснено, что стандартные протоколы шифрования не могут обеспечить </w:t>
      </w:r>
      <w:r>
        <w:rPr>
          <w:sz w:val="28"/>
          <w:szCs w:val="28"/>
          <w:lang w:val="ru-RU"/>
        </w:rPr>
        <w:t xml:space="preserve">полную безопасность конфиденциальных данных в системах перевода средств между электронными кошельками, и для обеспечения лучшей защищенности необходимо использовать более тяжелые криптографические протоколы, например,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были рассмотрены некоторые аналоги данной курсовой работы. Были рассмотрены две криптографические валюты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, изучены принципы их функционирования, а также алгоритмы протоколов, которые используются ими для шифрования данных. Также были выделены основные недостатки данных аналогов.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after="160" w:line="259" w:lineRule="auto"/>
        <w:ind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 w:clear="all"/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706"/>
        <w:pBdr/>
        <w:spacing w:line="360" w:lineRule="auto"/>
        <w:ind/>
        <w:rPr>
          <w:rFonts w:ascii="Times New Roman" w:hAnsi="Times New Roman"/>
          <w:szCs w:val="28"/>
          <w:lang w:val="ru-RU"/>
        </w:rPr>
      </w:pPr>
      <w:r/>
      <w:bookmarkStart w:id="18" w:name="_Toc15"/>
      <w:r>
        <w:rPr>
          <w:rFonts w:ascii="Times New Roman" w:hAnsi="Times New Roman"/>
          <w:szCs w:val="28"/>
          <w:lang w:val="ru-RU"/>
        </w:rPr>
        <w:t xml:space="preserve">СПИСОК ИСПОЛЬЗОВАННЫХ ИСТОЧНИКОВ</w:t>
      </w:r>
      <w:r/>
      <w:bookmarkEnd w:id="18"/>
      <w:r/>
      <w:r>
        <w:rPr>
          <w:rFonts w:ascii="Times New Roman" w:hAnsi="Times New Roman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5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Mao, W. (2003). Modern Cryptography: Theory and Practice. Prentice Hall.</w:t>
      </w:r>
      <w:r>
        <w:rPr>
          <w:rFonts w:ascii="Times New Roman" w:hAnsi="Times New Roman" w:cs="Times New Roman"/>
          <w:sz w:val="28"/>
          <w:szCs w:val="28"/>
          <w:lang w:bidi="en-US"/>
        </w:rPr>
      </w:r>
      <w:r>
        <w:rPr>
          <w:rFonts w:ascii="Times New Roman" w:hAnsi="Times New Roman" w:cs="Times New Roman"/>
          <w:sz w:val="28"/>
          <w:szCs w:val="28"/>
          <w:lang w:bidi="en-US"/>
        </w:rPr>
      </w:r>
    </w:p>
    <w:p>
      <w:pPr>
        <w:pStyle w:val="885"/>
        <w:numPr>
          <w:ilvl w:val="0"/>
          <w:numId w:val="4"/>
        </w:numPr>
        <w:pBdr/>
        <w:spacing w:after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Goldwasser, S., Micali, S., and Rackoff, C. (1989). The Knowledge Complexity of Interactive Proof </w:t>
      </w:r>
      <w:r>
        <w:rPr>
          <w:rFonts w:ascii="Times New Roman" w:hAnsi="Times New Roman" w:cs="Times New Roman"/>
          <w:sz w:val="28"/>
          <w:szCs w:val="28"/>
        </w:rPr>
        <w:t xml:space="preserve">Systems. SIAM Journal on Computing, 18(1), pp. 186–208.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5"/>
        <w:numPr>
          <w:ilvl w:val="0"/>
          <w:numId w:val="4"/>
        </w:numPr>
        <w:pBdr/>
        <w:spacing w:after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Blum, M., Feldman, P., and Micali, S. (1988). Noninteractive Zero-Knowledge and Its Applications.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Proceedings of the Twentieth Annual ACM Symposium on Theory of Computing, pp. 103–112.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headerReference w:type="default" r:id="rId9"/>
      <w:footnotePr/>
      <w:endnotePr/>
      <w:type w:val="nextPage"/>
      <w:pgSz w:h="16840" w:orient="landscape" w:w="11907"/>
      <w:pgMar w:top="851" w:right="567" w:bottom="851" w:left="1418" w:header="709" w:footer="709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43190091"/>
      <w:docPartObj>
        <w:docPartGallery w:val="Page Numbers (Top of Page)"/>
        <w:docPartUnique w:val="true"/>
      </w:docPartObj>
      <w:rPr/>
    </w:sdtPr>
    <w:sdtContent>
      <w:p>
        <w:pPr>
          <w:pStyle w:val="880"/>
          <w:pBdr/>
          <w:spacing/>
          <w:ind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  <w:lang w:val="ru-RU"/>
          </w:rPr>
          <w:t xml:space="preserve">16</w:t>
        </w:r>
        <w:r>
          <w:rPr>
            <w:sz w:val="28"/>
          </w:rPr>
          <w:fldChar w:fldCharType="end"/>
        </w:r>
        <w:r>
          <w:rPr>
            <w:sz w:val="28"/>
          </w:rPr>
        </w:r>
        <w:r>
          <w:rPr>
            <w:sz w:val="28"/>
          </w:rPr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907"/>
        </w:tabs>
        <w:spacing/>
        <w:ind w:hanging="198" w:left="907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)"/>
      <w:numFmt w:val="decimal"/>
      <w:pPr>
        <w:pBdr/>
        <w:tabs>
          <w:tab w:val="num" w:leader="none" w:pos="2149"/>
        </w:tabs>
        <w:spacing/>
        <w:ind w:hanging="360" w:left="2149"/>
      </w:pPr>
      <w:rPr>
        <w:rFonts w:hint="default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%2)"/>
      <w:numFmt w:val="decimal"/>
      <w:pPr>
        <w:pBdr/>
        <w:tabs>
          <w:tab w:val="num" w:leader="none" w:pos="2149"/>
        </w:tabs>
        <w:spacing/>
        <w:ind w:hanging="360" w:left="2149"/>
      </w:pPr>
      <w:rPr>
        <w:rFonts w:hint="default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3 Char"/>
    <w:basedOn w:val="715"/>
    <w:link w:val="7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3">
    <w:name w:val="Heading 4 Char"/>
    <w:basedOn w:val="715"/>
    <w:link w:val="7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4">
    <w:name w:val="Heading 5 Char"/>
    <w:basedOn w:val="715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6 Char"/>
    <w:basedOn w:val="715"/>
    <w:link w:val="7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6">
    <w:name w:val="Heading 7 Char"/>
    <w:basedOn w:val="715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8 Char"/>
    <w:basedOn w:val="715"/>
    <w:link w:val="7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9 Char"/>
    <w:basedOn w:val="715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Title Char"/>
    <w:basedOn w:val="715"/>
    <w:link w:val="728"/>
    <w:uiPriority w:val="10"/>
    <w:pPr>
      <w:pBdr/>
      <w:spacing/>
      <w:ind/>
    </w:pPr>
    <w:rPr>
      <w:sz w:val="48"/>
      <w:szCs w:val="48"/>
    </w:rPr>
  </w:style>
  <w:style w:type="character" w:styleId="700">
    <w:name w:val="Subtitle Char"/>
    <w:basedOn w:val="715"/>
    <w:link w:val="730"/>
    <w:uiPriority w:val="11"/>
    <w:pPr>
      <w:pBdr/>
      <w:spacing/>
      <w:ind/>
    </w:pPr>
    <w:rPr>
      <w:sz w:val="24"/>
      <w:szCs w:val="24"/>
    </w:rPr>
  </w:style>
  <w:style w:type="character" w:styleId="701">
    <w:name w:val="Quote Char"/>
    <w:link w:val="732"/>
    <w:uiPriority w:val="29"/>
    <w:pPr>
      <w:pBdr/>
      <w:spacing/>
      <w:ind/>
    </w:pPr>
    <w:rPr>
      <w:i/>
    </w:rPr>
  </w:style>
  <w:style w:type="character" w:styleId="702">
    <w:name w:val="Intense Quote Char"/>
    <w:link w:val="734"/>
    <w:uiPriority w:val="30"/>
    <w:pPr>
      <w:pBdr/>
      <w:spacing/>
      <w:ind/>
    </w:pPr>
    <w:rPr>
      <w:i/>
    </w:rPr>
  </w:style>
  <w:style w:type="character" w:styleId="703">
    <w:name w:val="Footnote Text Char"/>
    <w:link w:val="865"/>
    <w:uiPriority w:val="99"/>
    <w:pPr>
      <w:pBdr/>
      <w:spacing/>
      <w:ind/>
    </w:pPr>
    <w:rPr>
      <w:sz w:val="18"/>
    </w:rPr>
  </w:style>
  <w:style w:type="character" w:styleId="704">
    <w:name w:val="Endnote Text Char"/>
    <w:link w:val="868"/>
    <w:uiPriority w:val="99"/>
    <w:pPr>
      <w:pBdr/>
      <w:spacing/>
      <w:ind/>
    </w:pPr>
    <w:rPr>
      <w:sz w:val="20"/>
    </w:rPr>
  </w:style>
  <w:style w:type="paragraph" w:styleId="70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706">
    <w:name w:val="Heading 1"/>
    <w:basedOn w:val="705"/>
    <w:next w:val="705"/>
    <w:link w:val="884"/>
    <w:uiPriority w:val="1"/>
    <w:qFormat/>
    <w:pPr>
      <w:keepNext w:val="true"/>
      <w:pBdr/>
      <w:spacing/>
      <w:ind/>
      <w:jc w:val="center"/>
      <w:outlineLvl w:val="0"/>
    </w:pPr>
    <w:rPr>
      <w:rFonts w:ascii="Times" w:hAnsi="Times"/>
      <w:b/>
      <w:bCs/>
      <w:sz w:val="28"/>
      <w:szCs w:val="32"/>
      <w:lang w:bidi="ar-SA"/>
    </w:rPr>
  </w:style>
  <w:style w:type="paragraph" w:styleId="707">
    <w:name w:val="Heading 2"/>
    <w:basedOn w:val="705"/>
    <w:next w:val="705"/>
    <w:link w:val="889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08">
    <w:name w:val="Heading 3"/>
    <w:basedOn w:val="705"/>
    <w:next w:val="705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9">
    <w:name w:val="Heading 4"/>
    <w:basedOn w:val="705"/>
    <w:next w:val="705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705"/>
    <w:next w:val="705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711">
    <w:name w:val="Heading 6"/>
    <w:basedOn w:val="705"/>
    <w:next w:val="705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705"/>
    <w:next w:val="705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705"/>
    <w:next w:val="705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705"/>
    <w:next w:val="705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 w:default="1">
    <w:name w:val="Default Paragraph Font"/>
    <w:uiPriority w:val="1"/>
    <w:semiHidden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character" w:styleId="718" w:customStyle="1">
    <w:name w:val="Heading 1 Char"/>
    <w:basedOn w:val="7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9" w:customStyle="1">
    <w:name w:val="Heading 2 Char"/>
    <w:basedOn w:val="7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0" w:customStyle="1">
    <w:name w:val="Заголовок 3 Знак"/>
    <w:basedOn w:val="715"/>
    <w:link w:val="7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1" w:customStyle="1">
    <w:name w:val="Заголовок 4 Знак"/>
    <w:basedOn w:val="715"/>
    <w:link w:val="7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2" w:customStyle="1">
    <w:name w:val="Заголовок 5 Знак"/>
    <w:basedOn w:val="715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3" w:customStyle="1">
    <w:name w:val="Заголовок 6 Знак"/>
    <w:basedOn w:val="715"/>
    <w:link w:val="7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4" w:customStyle="1">
    <w:name w:val="Заголовок 7 Знак"/>
    <w:basedOn w:val="715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 w:customStyle="1">
    <w:name w:val="Заголовок 8 Знак"/>
    <w:basedOn w:val="715"/>
    <w:link w:val="7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6" w:customStyle="1">
    <w:name w:val="Заголовок 9 Знак"/>
    <w:basedOn w:val="715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7">
    <w:name w:val="No Spacing"/>
    <w:uiPriority w:val="1"/>
    <w:qFormat/>
    <w:pPr>
      <w:pBdr/>
      <w:spacing w:after="0" w:line="240" w:lineRule="auto"/>
      <w:ind/>
    </w:pPr>
  </w:style>
  <w:style w:type="paragraph" w:styleId="728">
    <w:name w:val="Title"/>
    <w:basedOn w:val="705"/>
    <w:next w:val="705"/>
    <w:link w:val="7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9" w:customStyle="1">
    <w:name w:val="Название Знак"/>
    <w:basedOn w:val="715"/>
    <w:link w:val="728"/>
    <w:uiPriority w:val="10"/>
    <w:pPr>
      <w:pBdr/>
      <w:spacing/>
      <w:ind/>
    </w:pPr>
    <w:rPr>
      <w:sz w:val="48"/>
      <w:szCs w:val="48"/>
    </w:rPr>
  </w:style>
  <w:style w:type="paragraph" w:styleId="730">
    <w:name w:val="Subtitle"/>
    <w:basedOn w:val="705"/>
    <w:next w:val="705"/>
    <w:link w:val="731"/>
    <w:uiPriority w:val="11"/>
    <w:qFormat/>
    <w:pPr>
      <w:pBdr/>
      <w:spacing w:after="200" w:before="200"/>
      <w:ind/>
    </w:pPr>
  </w:style>
  <w:style w:type="character" w:styleId="731" w:customStyle="1">
    <w:name w:val="Подзаголовок Знак"/>
    <w:basedOn w:val="715"/>
    <w:link w:val="730"/>
    <w:uiPriority w:val="11"/>
    <w:pPr>
      <w:pBdr/>
      <w:spacing/>
      <w:ind/>
    </w:pPr>
    <w:rPr>
      <w:sz w:val="24"/>
      <w:szCs w:val="24"/>
    </w:rPr>
  </w:style>
  <w:style w:type="paragraph" w:styleId="732">
    <w:name w:val="Quote"/>
    <w:basedOn w:val="705"/>
    <w:next w:val="705"/>
    <w:link w:val="733"/>
    <w:uiPriority w:val="29"/>
    <w:qFormat/>
    <w:pPr>
      <w:pBdr/>
      <w:spacing/>
      <w:ind w:right="720" w:left="720"/>
    </w:pPr>
    <w:rPr>
      <w:i/>
    </w:rPr>
  </w:style>
  <w:style w:type="character" w:styleId="733" w:customStyle="1">
    <w:name w:val="Цитата 2 Знак"/>
    <w:link w:val="732"/>
    <w:uiPriority w:val="29"/>
    <w:pPr>
      <w:pBdr/>
      <w:spacing/>
      <w:ind/>
    </w:pPr>
    <w:rPr>
      <w:i/>
    </w:rPr>
  </w:style>
  <w:style w:type="paragraph" w:styleId="734">
    <w:name w:val="Intense Quote"/>
    <w:basedOn w:val="705"/>
    <w:next w:val="705"/>
    <w:link w:val="7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35" w:customStyle="1">
    <w:name w:val="Выделенная цитата Знак"/>
    <w:link w:val="734"/>
    <w:uiPriority w:val="30"/>
    <w:pPr>
      <w:pBdr/>
      <w:spacing/>
      <w:ind/>
    </w:pPr>
    <w:rPr>
      <w:i/>
    </w:rPr>
  </w:style>
  <w:style w:type="character" w:styleId="736" w:customStyle="1">
    <w:name w:val="Header Char"/>
    <w:basedOn w:val="715"/>
    <w:uiPriority w:val="99"/>
    <w:pPr>
      <w:pBdr/>
      <w:spacing/>
      <w:ind/>
    </w:pPr>
  </w:style>
  <w:style w:type="character" w:styleId="737" w:customStyle="1">
    <w:name w:val="Footer Char"/>
    <w:basedOn w:val="715"/>
    <w:uiPriority w:val="99"/>
    <w:pPr>
      <w:pBdr/>
      <w:spacing/>
      <w:ind/>
    </w:pPr>
  </w:style>
  <w:style w:type="paragraph" w:styleId="738">
    <w:name w:val="Caption"/>
    <w:basedOn w:val="705"/>
    <w:next w:val="705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9" w:customStyle="1">
    <w:name w:val="Caption Char"/>
    <w:uiPriority w:val="99"/>
    <w:pPr>
      <w:pBdr/>
      <w:spacing/>
      <w:ind/>
    </w:pPr>
  </w:style>
  <w:style w:type="table" w:styleId="740" w:customStyle="1">
    <w:name w:val="Table Grid Light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71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footnote text"/>
    <w:basedOn w:val="705"/>
    <w:link w:val="866"/>
    <w:uiPriority w:val="99"/>
    <w:semiHidden/>
    <w:unhideWhenUsed/>
    <w:pPr>
      <w:pBdr/>
      <w:spacing w:after="40"/>
      <w:ind/>
    </w:pPr>
    <w:rPr>
      <w:sz w:val="18"/>
    </w:rPr>
  </w:style>
  <w:style w:type="character" w:styleId="866" w:customStyle="1">
    <w:name w:val="Текст сноски Знак"/>
    <w:link w:val="865"/>
    <w:uiPriority w:val="99"/>
    <w:pPr>
      <w:pBdr/>
      <w:spacing/>
      <w:ind/>
    </w:pPr>
    <w:rPr>
      <w:sz w:val="18"/>
    </w:rPr>
  </w:style>
  <w:style w:type="character" w:styleId="867">
    <w:name w:val="footnote reference"/>
    <w:basedOn w:val="715"/>
    <w:uiPriority w:val="99"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705"/>
    <w:link w:val="869"/>
    <w:uiPriority w:val="99"/>
    <w:semiHidden/>
    <w:unhideWhenUsed/>
    <w:pPr>
      <w:pBdr/>
      <w:spacing/>
      <w:ind/>
    </w:pPr>
    <w:rPr>
      <w:sz w:val="20"/>
    </w:rPr>
  </w:style>
  <w:style w:type="character" w:styleId="869" w:customStyle="1">
    <w:name w:val="Текст концевой сноски Знак"/>
    <w:link w:val="868"/>
    <w:uiPriority w:val="99"/>
    <w:pPr>
      <w:pBdr/>
      <w:spacing/>
      <w:ind/>
    </w:pPr>
    <w:rPr>
      <w:sz w:val="20"/>
    </w:rPr>
  </w:style>
  <w:style w:type="character" w:styleId="870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toc 3"/>
    <w:basedOn w:val="705"/>
    <w:next w:val="705"/>
    <w:uiPriority w:val="39"/>
    <w:unhideWhenUsed/>
    <w:pPr>
      <w:pBdr/>
      <w:spacing w:after="57"/>
      <w:ind w:left="567"/>
    </w:pPr>
  </w:style>
  <w:style w:type="paragraph" w:styleId="872">
    <w:name w:val="toc 4"/>
    <w:basedOn w:val="705"/>
    <w:next w:val="705"/>
    <w:uiPriority w:val="39"/>
    <w:unhideWhenUsed/>
    <w:pPr>
      <w:pBdr/>
      <w:spacing w:after="57"/>
      <w:ind w:left="850"/>
    </w:pPr>
  </w:style>
  <w:style w:type="paragraph" w:styleId="873">
    <w:name w:val="toc 5"/>
    <w:basedOn w:val="705"/>
    <w:next w:val="705"/>
    <w:uiPriority w:val="39"/>
    <w:unhideWhenUsed/>
    <w:pPr>
      <w:pBdr/>
      <w:spacing w:after="57"/>
      <w:ind w:left="1134"/>
    </w:pPr>
  </w:style>
  <w:style w:type="paragraph" w:styleId="874">
    <w:name w:val="toc 6"/>
    <w:basedOn w:val="705"/>
    <w:next w:val="705"/>
    <w:uiPriority w:val="39"/>
    <w:unhideWhenUsed/>
    <w:pPr>
      <w:pBdr/>
      <w:spacing w:after="57"/>
      <w:ind w:left="1417"/>
    </w:pPr>
  </w:style>
  <w:style w:type="paragraph" w:styleId="875">
    <w:name w:val="toc 7"/>
    <w:basedOn w:val="705"/>
    <w:next w:val="705"/>
    <w:uiPriority w:val="39"/>
    <w:unhideWhenUsed/>
    <w:pPr>
      <w:pBdr/>
      <w:spacing w:after="57"/>
      <w:ind w:left="1701"/>
    </w:pPr>
  </w:style>
  <w:style w:type="paragraph" w:styleId="876">
    <w:name w:val="toc 8"/>
    <w:basedOn w:val="705"/>
    <w:next w:val="705"/>
    <w:uiPriority w:val="39"/>
    <w:unhideWhenUsed/>
    <w:pPr>
      <w:pBdr/>
      <w:spacing w:after="57"/>
      <w:ind w:left="1984"/>
    </w:pPr>
  </w:style>
  <w:style w:type="paragraph" w:styleId="877">
    <w:name w:val="toc 9"/>
    <w:basedOn w:val="705"/>
    <w:next w:val="705"/>
    <w:uiPriority w:val="39"/>
    <w:unhideWhenUsed/>
    <w:pPr>
      <w:pBdr/>
      <w:spacing w:after="57"/>
      <w:ind w:left="2268"/>
    </w:pPr>
  </w:style>
  <w:style w:type="paragraph" w:styleId="878">
    <w:name w:val="table of figures"/>
    <w:basedOn w:val="705"/>
    <w:next w:val="705"/>
    <w:uiPriority w:val="99"/>
    <w:unhideWhenUsed/>
    <w:pPr>
      <w:pBdr/>
      <w:spacing/>
      <w:ind/>
    </w:pPr>
  </w:style>
  <w:style w:type="table" w:styleId="879">
    <w:name w:val="Table Grid"/>
    <w:basedOn w:val="716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Header"/>
    <w:basedOn w:val="705"/>
    <w:link w:val="88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1" w:customStyle="1">
    <w:name w:val="Верхний колонтитул Знак"/>
    <w:basedOn w:val="715"/>
    <w:link w:val="880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882">
    <w:name w:val="Footer"/>
    <w:basedOn w:val="705"/>
    <w:link w:val="88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3" w:customStyle="1">
    <w:name w:val="Нижний колонтитул Знак"/>
    <w:basedOn w:val="715"/>
    <w:link w:val="882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character" w:styleId="884" w:customStyle="1">
    <w:name w:val="Заголовок 1 Знак"/>
    <w:basedOn w:val="715"/>
    <w:link w:val="706"/>
    <w:uiPriority w:val="1"/>
    <w:pPr>
      <w:pBdr/>
      <w:spacing/>
      <w:ind/>
    </w:pPr>
    <w:rPr>
      <w:rFonts w:ascii="Times" w:hAnsi="Times" w:eastAsia="Times New Roman" w:cs="Times New Roman"/>
      <w:b/>
      <w:bCs/>
      <w:sz w:val="28"/>
      <w:szCs w:val="32"/>
    </w:rPr>
  </w:style>
  <w:style w:type="paragraph" w:styleId="885">
    <w:name w:val="List Paragraph"/>
    <w:basedOn w:val="705"/>
    <w:uiPriority w:val="34"/>
    <w:qFormat/>
    <w:pPr>
      <w:pBdr/>
      <w:spacing w:after="160" w:line="259" w:lineRule="auto"/>
      <w:ind w:left="720"/>
      <w:contextualSpacing w:val="true"/>
    </w:pPr>
    <w:rPr>
      <w:rFonts w:asciiTheme="minorHAnsi" w:hAnsiTheme="minorHAnsi" w:eastAsiaTheme="minorHAnsi" w:cstheme="minorBidi"/>
      <w:sz w:val="22"/>
      <w:szCs w:val="22"/>
      <w:lang w:val="ru-RU" w:bidi="ar-SA"/>
    </w:rPr>
  </w:style>
  <w:style w:type="paragraph" w:styleId="886">
    <w:name w:val="TOC Heading"/>
    <w:basedOn w:val="706"/>
    <w:next w:val="705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lang w:val="ru-RU" w:eastAsia="ru-RU"/>
    </w:rPr>
  </w:style>
  <w:style w:type="paragraph" w:styleId="887">
    <w:name w:val="toc 1"/>
    <w:basedOn w:val="705"/>
    <w:next w:val="705"/>
    <w:uiPriority w:val="39"/>
    <w:unhideWhenUsed/>
    <w:pPr>
      <w:pBdr/>
      <w:spacing w:after="100"/>
      <w:ind/>
    </w:pPr>
  </w:style>
  <w:style w:type="character" w:styleId="888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 w:customStyle="1">
    <w:name w:val="Заголовок 2 Знак"/>
    <w:basedOn w:val="715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 w:bidi="en-US"/>
    </w:rPr>
  </w:style>
  <w:style w:type="paragraph" w:styleId="890">
    <w:name w:val="toc 2"/>
    <w:basedOn w:val="705"/>
    <w:next w:val="705"/>
    <w:uiPriority w:val="39"/>
    <w:unhideWhenUsed/>
    <w:pPr>
      <w:pBdr/>
      <w:spacing w:after="100"/>
      <w:ind w:left="240"/>
    </w:pPr>
  </w:style>
  <w:style w:type="character" w:styleId="891">
    <w:name w:val="Placeholder Text"/>
    <w:basedOn w:val="715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B989-2D9B-4903-8BBC-D2336EB4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Сергеевна Яновская</dc:creator>
  <cp:keywords/>
  <dc:description/>
  <cp:revision>19</cp:revision>
  <dcterms:created xsi:type="dcterms:W3CDTF">2023-12-25T22:36:00Z</dcterms:created>
  <dcterms:modified xsi:type="dcterms:W3CDTF">2024-01-09T07:32:40Z</dcterms:modified>
</cp:coreProperties>
</file>