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образования и науки Российской Федерации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Севастопольский государственный университет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ИС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дисциплине: “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Теоретические основы построения компиляторов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“</w:t>
      </w:r>
      <w:r>
        <w:rPr>
          <w:rFonts w:ascii="Times New Roman" w:hAnsi="Times New Roman"/>
          <w:sz w:val="28"/>
          <w:szCs w:val="28"/>
        </w:rPr>
        <w:t xml:space="preserve">Исследование детерминированного конечного автомата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ст.гр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ИС/б-20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-1-о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Галенин А. К.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Карлусов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В.Ю.</w:t>
      </w:r>
      <w:r>
        <w:rPr>
          <w:rFonts w:ascii="Times New Roman" w:hAnsi="Times New Roman" w:cs="Times New Roman"/>
          <w:color w:val="0d0d0d" w:themeColor="text1" w:themeTint="F2"/>
          <w:sz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2023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 ЦЕЛЬ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Научиться производить построение детерминированных конечных автоматов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(ДКА), допускающих определённые цепочки символов языка.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Освоить приёмы описания конечных автоматов (КА) в виде графов, таблиц пере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ходов и регулярных выражений.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Научиться выполнять построения ДКА по недетерминированным конечным ав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томатам (НКА).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Научиться проводить построение минимальных детерминированных конечных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автоматов (МДКА).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ПОСТАВНОВКА ЗАДАЧИ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11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A </w:t>
      </w:r>
      <w:r>
        <w:rPr>
          <w:rFonts w:ascii="Cambria Math" w:hAnsi="Cambria Math" w:cs="Cambria Math"/>
          <w:sz w:val="28"/>
          <w:szCs w:val="28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 </w:t>
      </w:r>
      <w:r>
        <w:rPr>
          <w:rFonts w:ascii="Cambria Math" w:hAnsi="Cambria Math" w:cs="Cambria Math"/>
          <w:sz w:val="28"/>
          <w:szCs w:val="28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ХОД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Была выполнена разметка регулярного выражения, результат представлен на рисунке 1.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8780" cy="4694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6238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838779" cy="469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9.75pt;height:36.9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Разметка регулярного выражения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Была построена таблица переходов 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Таблица переходов 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Q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a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b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c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</w:tbl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 таблицы видно, что состояния 2, 3, 4, а также 5, 7, и 8, 9, и 11, 12 неразличимы ни по входному сигналу, ни по выходному. Объединив {2, 3, 4} → 2, {5, 7} → 3, {8, 9} → 5,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{11, 12} → 7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была получена таблица переходов МДКА.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Таблица переходов МДКА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2"/>
      </w:tblGrid>
      <w:tr>
        <w:trPr/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Q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a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b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c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</w:tbl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 построен соответствующий таблице граф конечного автомата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8555" cy="28600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86433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218554" cy="2860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2.17pt;height:225.2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Граф МДКА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Код программы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import numpy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regex = numpy.array([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[1, 99, 2, 4, 99, 99, 7, 99],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[99, 2, 2, 5, 3, 99, 99, 7],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[6, 99, 3, 99, 99, 5, 99, 99],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])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end_nodes = (3, 4, 5, 7)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test_sequences = open("test_sequence.txt", "r").read().splitlines()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for test_sequence in test_sequences: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node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print('\n')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for symbol in test_sequence: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match symbol: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case 'a':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node = regex[0][node]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case 'b':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node = regex[1][node]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case 'c':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node = regex[2][node]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case _: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node = 999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if node == 999: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print('\nНе символ алфавита')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break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elif node == 99: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print('\nНеправильная вершина цепочки')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break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print(f'-{node}-', end="")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(node not in end_nodes) and (node != 999) and (node != 99):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print('\nНеполная цепочка')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elif (node != 999 and node != 99):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print(f'\n{test_sequence}')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</w:r>
      <w:r>
        <w:rPr>
          <w:rFonts w:ascii="Consolas" w:hAnsi="Consolas" w:cs="Consolas"/>
          <w:color w:val="0d0d0d" w:themeColor="text1" w:themeTint="F2"/>
          <w:sz w:val="20"/>
          <w:szCs w:val="20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Были разработаны тестовые последовательности минимальной длины, допускаемые и отвергаемые КА: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ba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отвергаемая последовательность</w:t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допускаемая последовательность</w:t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cab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допускаемая последовательность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abab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отвергаемая последовательность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ababc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допускаемая последовательность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ababcab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допускаемая последовательность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ab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отвергаемая последовательность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abcaa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отвергаемая последовательность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90775" cy="45910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03695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390774" cy="459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8.25pt;height:361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Результат выполнения программы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 ходе выполнения лабораторной работы были изучены принципы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построения детерминированных конечных автоматов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(ДКА), допускающих определённые цепочки символов языка.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Освоены приёмы описания конечных автоматов (КА) в виде графов, таблиц пере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ходов и регулярных выражений.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Были изучены принципы построения ДКА по недетерминированным конечным ав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томатам (НКА).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Были изучены методы построения минимальных детерминированных конечных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автоматов (МДКА).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sectPr>
      <w:footnotePr/>
      <w:endnotePr/>
      <w:type w:val="nextPage"/>
      <w:pgSz w:h="16838" w:orient="landscape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2024-01-09T05:43:32Z</dcterms:modified>
</cp:coreProperties>
</file>